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2521" w14:textId="77777777" w:rsidR="00B743E8" w:rsidRDefault="00B743E8" w:rsidP="00B55C11">
      <w:pPr>
        <w:rPr>
          <w:sz w:val="28"/>
          <w:szCs w:val="28"/>
        </w:rPr>
      </w:pPr>
    </w:p>
    <w:p w14:paraId="415CECEF" w14:textId="6322326E" w:rsidR="00B55C11" w:rsidRPr="00C04D7B" w:rsidRDefault="00FF733B" w:rsidP="00B55C11">
      <w:pPr>
        <w:rPr>
          <w:sz w:val="28"/>
          <w:szCs w:val="28"/>
        </w:rPr>
      </w:pPr>
      <w:r>
        <w:rPr>
          <w:sz w:val="28"/>
          <w:szCs w:val="28"/>
        </w:rPr>
        <w:t>Persbericht</w:t>
      </w:r>
    </w:p>
    <w:p w14:paraId="0E68AE1F" w14:textId="6ED843FC" w:rsidR="00FF733B" w:rsidRDefault="00FF733B" w:rsidP="00686DCD">
      <w:pPr>
        <w:rPr>
          <w:b/>
          <w:bCs/>
          <w:sz w:val="34"/>
          <w:szCs w:val="34"/>
        </w:rPr>
      </w:pPr>
      <w:r w:rsidRPr="00FF733B">
        <w:rPr>
          <w:b/>
          <w:bCs/>
          <w:sz w:val="30"/>
          <w:szCs w:val="30"/>
        </w:rPr>
        <w:t>Nieuwe procedure voor m-health: stap vooruit</w:t>
      </w:r>
      <w:r w:rsidRPr="00FF733B">
        <w:rPr>
          <w:b/>
          <w:bCs/>
          <w:sz w:val="34"/>
          <w:szCs w:val="34"/>
        </w:rPr>
        <w:t xml:space="preserve"> </w:t>
      </w:r>
      <w:r w:rsidRPr="00FF733B">
        <w:rPr>
          <w:sz w:val="24"/>
          <w:szCs w:val="24"/>
        </w:rPr>
        <w:t>(maar we zijn er nog niet</w:t>
      </w:r>
      <w:r>
        <w:rPr>
          <w:sz w:val="24"/>
          <w:szCs w:val="24"/>
        </w:rPr>
        <w:t>…</w:t>
      </w:r>
      <w:r w:rsidRPr="00FF733B">
        <w:rPr>
          <w:sz w:val="24"/>
          <w:szCs w:val="24"/>
        </w:rPr>
        <w:t>)</w:t>
      </w:r>
    </w:p>
    <w:p w14:paraId="4DEFC374" w14:textId="12B7F4D1" w:rsidR="00FF733B" w:rsidRPr="00FF733B" w:rsidRDefault="002C639F" w:rsidP="00FF733B">
      <w:pPr>
        <w:rPr>
          <w:b/>
          <w:bCs/>
          <w:sz w:val="24"/>
          <w:szCs w:val="24"/>
        </w:rPr>
      </w:pPr>
      <w:r w:rsidRPr="00FF733B">
        <w:rPr>
          <w:sz w:val="24"/>
          <w:szCs w:val="24"/>
        </w:rPr>
        <w:t xml:space="preserve">BRUSSEL, </w:t>
      </w:r>
      <w:r w:rsidR="00FF733B" w:rsidRPr="00FF733B">
        <w:rPr>
          <w:sz w:val="24"/>
          <w:szCs w:val="24"/>
        </w:rPr>
        <w:t>12</w:t>
      </w:r>
      <w:r w:rsidR="00AA02CA" w:rsidRPr="00FF733B">
        <w:rPr>
          <w:sz w:val="24"/>
          <w:szCs w:val="24"/>
        </w:rPr>
        <w:t>/</w:t>
      </w:r>
      <w:r w:rsidR="00FF733B" w:rsidRPr="00FF733B">
        <w:rPr>
          <w:sz w:val="24"/>
          <w:szCs w:val="24"/>
        </w:rPr>
        <w:t>09</w:t>
      </w:r>
      <w:r w:rsidR="00AA02CA" w:rsidRPr="00FF733B">
        <w:rPr>
          <w:sz w:val="24"/>
          <w:szCs w:val="24"/>
        </w:rPr>
        <w:t>/</w:t>
      </w:r>
      <w:r w:rsidR="00FF733B" w:rsidRPr="00FF733B">
        <w:rPr>
          <w:sz w:val="24"/>
          <w:szCs w:val="24"/>
        </w:rPr>
        <w:t>2023</w:t>
      </w:r>
      <w:r w:rsidRPr="00FF733B">
        <w:rPr>
          <w:sz w:val="24"/>
          <w:szCs w:val="24"/>
        </w:rPr>
        <w:t xml:space="preserve"> –</w:t>
      </w:r>
      <w:r w:rsidR="00EB00EE" w:rsidRPr="00FF733B">
        <w:rPr>
          <w:b/>
          <w:bCs/>
          <w:sz w:val="24"/>
          <w:szCs w:val="24"/>
        </w:rPr>
        <w:t xml:space="preserve"> </w:t>
      </w:r>
      <w:r w:rsidR="00FF733B" w:rsidRPr="00FF733B">
        <w:rPr>
          <w:b/>
          <w:bCs/>
          <w:sz w:val="24"/>
          <w:szCs w:val="24"/>
        </w:rPr>
        <w:t xml:space="preserve">Vanaf 1 oktober 2023 is de nieuwe aanvraagprocedure voor mobiele medische toepassingen van kracht. Die betekent zeker een stap vooruit, maar het werk is nog niet af. Een belangrijke verbetering is dat de evaluatie van aanvragen mee zal gebeuren door </w:t>
      </w:r>
      <w:r w:rsidR="00FC2900" w:rsidRPr="00846B9A">
        <w:rPr>
          <w:b/>
          <w:bCs/>
          <w:sz w:val="24"/>
          <w:szCs w:val="24"/>
        </w:rPr>
        <w:t>onafhankelijke</w:t>
      </w:r>
      <w:r w:rsidR="00FC2900">
        <w:rPr>
          <w:b/>
          <w:bCs/>
          <w:sz w:val="24"/>
          <w:szCs w:val="24"/>
        </w:rPr>
        <w:t xml:space="preserve"> </w:t>
      </w:r>
      <w:r w:rsidR="00FF733B" w:rsidRPr="00FF733B">
        <w:rPr>
          <w:b/>
          <w:bCs/>
          <w:sz w:val="24"/>
          <w:szCs w:val="24"/>
        </w:rPr>
        <w:t>gezondheidseconomen.</w:t>
      </w:r>
    </w:p>
    <w:p w14:paraId="0CF87279" w14:textId="77777777" w:rsidR="00FF733B" w:rsidRPr="00FF733B" w:rsidRDefault="00FF733B" w:rsidP="00FF733B">
      <w:pPr>
        <w:pStyle w:val="Normaalweb"/>
        <w:rPr>
          <w:rFonts w:asciiTheme="minorHAnsi" w:hAnsiTheme="minorHAnsi" w:cstheme="minorHAnsi"/>
        </w:rPr>
      </w:pPr>
      <w:r w:rsidRPr="00FF733B">
        <w:rPr>
          <w:rStyle w:val="Nadruk"/>
          <w:rFonts w:asciiTheme="minorHAnsi" w:hAnsiTheme="minorHAnsi" w:cstheme="minorHAnsi"/>
        </w:rPr>
        <w:t>De validatiepiramide is dood, lang leve de … validatieprocedure?</w:t>
      </w:r>
    </w:p>
    <w:p w14:paraId="324C425B" w14:textId="00AFCF6A" w:rsidR="00FF733B" w:rsidRPr="00FF733B" w:rsidRDefault="00FF733B" w:rsidP="00FF733B">
      <w:pPr>
        <w:pStyle w:val="Normaalweb"/>
        <w:rPr>
          <w:rFonts w:asciiTheme="minorHAnsi" w:hAnsiTheme="minorHAnsi" w:cstheme="minorHAnsi"/>
          <w:sz w:val="22"/>
          <w:szCs w:val="22"/>
        </w:rPr>
      </w:pPr>
      <w:r w:rsidRPr="00FF733B">
        <w:rPr>
          <w:rFonts w:asciiTheme="minorHAnsi" w:hAnsiTheme="minorHAnsi" w:cstheme="minorHAnsi"/>
          <w:sz w:val="22"/>
          <w:szCs w:val="22"/>
        </w:rPr>
        <w:t xml:space="preserve">Vanaf 1 oktober 2023 is het zover, dan is de nieuwe aanvraagprocedure voor mobiele medische toepassingen van kracht. De </w:t>
      </w:r>
      <w:hyperlink r:id="rId7" w:tgtFrame="_blank" w:history="1">
        <w:r w:rsidRPr="00FF733B">
          <w:rPr>
            <w:rStyle w:val="Hyperlink"/>
            <w:rFonts w:asciiTheme="minorHAnsi" w:hAnsiTheme="minorHAnsi" w:cstheme="minorHAnsi"/>
            <w:sz w:val="22"/>
            <w:szCs w:val="22"/>
          </w:rPr>
          <w:t>validatiepiramide</w:t>
        </w:r>
      </w:hyperlink>
      <w:r>
        <w:rPr>
          <w:rFonts w:asciiTheme="minorHAnsi" w:hAnsiTheme="minorHAnsi" w:cstheme="minorHAnsi"/>
          <w:sz w:val="22"/>
          <w:szCs w:val="22"/>
        </w:rPr>
        <w:t xml:space="preserve"> van </w:t>
      </w:r>
      <w:proofErr w:type="spellStart"/>
      <w:r>
        <w:rPr>
          <w:rFonts w:asciiTheme="minorHAnsi" w:hAnsiTheme="minorHAnsi" w:cstheme="minorHAnsi"/>
          <w:sz w:val="22"/>
          <w:szCs w:val="22"/>
        </w:rPr>
        <w:t>mHealthBelgium</w:t>
      </w:r>
      <w:proofErr w:type="spellEnd"/>
      <w:r w:rsidRPr="00FF733B">
        <w:rPr>
          <w:rFonts w:asciiTheme="minorHAnsi" w:hAnsiTheme="minorHAnsi" w:cstheme="minorHAnsi"/>
          <w:sz w:val="22"/>
          <w:szCs w:val="22"/>
        </w:rPr>
        <w:t xml:space="preserve"> met 3 niveaus wordt daarbij verlaten … maar ook weer niet helemaal. Zowat alle elementen van de piramide komen immers terug in de nieuwe aanpak.</w:t>
      </w:r>
    </w:p>
    <w:p w14:paraId="2C2CCFA6" w14:textId="29858B61" w:rsidR="00FF733B" w:rsidRPr="00FF733B" w:rsidRDefault="00FF733B" w:rsidP="00FF733B">
      <w:pPr>
        <w:pStyle w:val="Normaalweb"/>
        <w:rPr>
          <w:rFonts w:asciiTheme="minorHAnsi" w:hAnsiTheme="minorHAnsi" w:cstheme="minorHAnsi"/>
          <w:sz w:val="22"/>
          <w:szCs w:val="22"/>
        </w:rPr>
      </w:pPr>
      <w:r w:rsidRPr="00FF733B">
        <w:rPr>
          <w:rFonts w:asciiTheme="minorHAnsi" w:hAnsiTheme="minorHAnsi" w:cstheme="minorHAnsi"/>
          <w:sz w:val="22"/>
          <w:szCs w:val="22"/>
        </w:rPr>
        <w:t xml:space="preserve">De geüpdatete procedure bevat daarnaast enkele positieve nieuwe elementen, waaronder heel wat zaken waar </w:t>
      </w:r>
      <w:r>
        <w:rPr>
          <w:rFonts w:asciiTheme="minorHAnsi" w:hAnsiTheme="minorHAnsi" w:cstheme="minorHAnsi"/>
          <w:sz w:val="22"/>
          <w:szCs w:val="22"/>
        </w:rPr>
        <w:t xml:space="preserve">sectorfederaties </w:t>
      </w:r>
      <w:r w:rsidRPr="00FF733B">
        <w:rPr>
          <w:rFonts w:asciiTheme="minorHAnsi" w:hAnsiTheme="minorHAnsi" w:cstheme="minorHAnsi"/>
          <w:sz w:val="22"/>
          <w:szCs w:val="22"/>
        </w:rPr>
        <w:t xml:space="preserve">beMedTech </w:t>
      </w:r>
      <w:r>
        <w:rPr>
          <w:rFonts w:asciiTheme="minorHAnsi" w:hAnsiTheme="minorHAnsi" w:cstheme="minorHAnsi"/>
          <w:sz w:val="22"/>
          <w:szCs w:val="22"/>
        </w:rPr>
        <w:t xml:space="preserve">en </w:t>
      </w:r>
      <w:proofErr w:type="spellStart"/>
      <w:r>
        <w:rPr>
          <w:rFonts w:asciiTheme="minorHAnsi" w:hAnsiTheme="minorHAnsi" w:cstheme="minorHAnsi"/>
          <w:sz w:val="22"/>
          <w:szCs w:val="22"/>
        </w:rPr>
        <w:t>Agoria</w:t>
      </w:r>
      <w:proofErr w:type="spellEnd"/>
      <w:r>
        <w:rPr>
          <w:rFonts w:asciiTheme="minorHAnsi" w:hAnsiTheme="minorHAnsi" w:cstheme="minorHAnsi"/>
          <w:sz w:val="22"/>
          <w:szCs w:val="22"/>
        </w:rPr>
        <w:t xml:space="preserve"> </w:t>
      </w:r>
      <w:r w:rsidRPr="00FF733B">
        <w:rPr>
          <w:rFonts w:asciiTheme="minorHAnsi" w:hAnsiTheme="minorHAnsi" w:cstheme="minorHAnsi"/>
          <w:sz w:val="22"/>
          <w:szCs w:val="22"/>
        </w:rPr>
        <w:t>al langer voor pleiten.</w:t>
      </w:r>
    </w:p>
    <w:p w14:paraId="4E26E161" w14:textId="583DDD2E" w:rsidR="00FF733B" w:rsidRPr="00FF733B" w:rsidRDefault="00FF733B" w:rsidP="00FF733B">
      <w:pPr>
        <w:pStyle w:val="Normaalweb"/>
        <w:rPr>
          <w:rFonts w:asciiTheme="minorHAnsi" w:hAnsiTheme="minorHAnsi" w:cstheme="minorHAnsi"/>
          <w:sz w:val="22"/>
          <w:szCs w:val="22"/>
        </w:rPr>
      </w:pPr>
      <w:r w:rsidRPr="00FF733B">
        <w:rPr>
          <w:rFonts w:asciiTheme="minorHAnsi" w:hAnsiTheme="minorHAnsi" w:cstheme="minorHAnsi"/>
          <w:sz w:val="22"/>
          <w:szCs w:val="22"/>
        </w:rPr>
        <w:t xml:space="preserve">Alle info over de aanvraagprocedure, goedgekeurd door het Verzekeringscomité op 10 juli, is beschikbaar op de </w:t>
      </w:r>
      <w:hyperlink r:id="rId8" w:tgtFrame="_blank" w:history="1">
        <w:r w:rsidRPr="00FF733B">
          <w:rPr>
            <w:rStyle w:val="Hyperlink"/>
            <w:rFonts w:asciiTheme="minorHAnsi" w:hAnsiTheme="minorHAnsi" w:cstheme="minorHAnsi"/>
            <w:sz w:val="22"/>
            <w:szCs w:val="22"/>
          </w:rPr>
          <w:t>website van het Riziv</w:t>
        </w:r>
      </w:hyperlink>
      <w:r w:rsidRPr="00FF733B">
        <w:rPr>
          <w:rFonts w:asciiTheme="minorHAnsi" w:hAnsiTheme="minorHAnsi" w:cstheme="minorHAnsi"/>
          <w:sz w:val="22"/>
          <w:szCs w:val="22"/>
        </w:rPr>
        <w:t xml:space="preserve">. We lichten er hieronder </w:t>
      </w:r>
      <w:r w:rsidR="00963F93">
        <w:rPr>
          <w:rFonts w:asciiTheme="minorHAnsi" w:hAnsiTheme="minorHAnsi" w:cstheme="minorHAnsi"/>
          <w:sz w:val="22"/>
          <w:szCs w:val="22"/>
        </w:rPr>
        <w:t xml:space="preserve">de belangrijkste </w:t>
      </w:r>
      <w:r w:rsidRPr="00FF733B">
        <w:rPr>
          <w:rFonts w:asciiTheme="minorHAnsi" w:hAnsiTheme="minorHAnsi" w:cstheme="minorHAnsi"/>
          <w:sz w:val="22"/>
          <w:szCs w:val="22"/>
        </w:rPr>
        <w:t>punten uit.</w:t>
      </w:r>
    </w:p>
    <w:p w14:paraId="1543A78F" w14:textId="18B5D023" w:rsidR="00FF733B" w:rsidRPr="00FF733B" w:rsidRDefault="00FF733B" w:rsidP="00FF733B">
      <w:pPr>
        <w:rPr>
          <w:b/>
          <w:bCs/>
          <w:sz w:val="24"/>
          <w:szCs w:val="24"/>
        </w:rPr>
      </w:pPr>
      <w:r w:rsidRPr="00FF733B">
        <w:rPr>
          <w:b/>
          <w:bCs/>
          <w:sz w:val="24"/>
          <w:szCs w:val="24"/>
        </w:rPr>
        <w:t>Stap vooruit…</w:t>
      </w:r>
    </w:p>
    <w:p w14:paraId="5F7FC7B4" w14:textId="77777777" w:rsidR="00FF733B" w:rsidRPr="0099469A" w:rsidRDefault="00FF733B" w:rsidP="00FF733B">
      <w:r w:rsidRPr="0099469A">
        <w:t xml:space="preserve">De nieuwe procedure betekent op verschillende punten een stap vooruit voor </w:t>
      </w:r>
      <w:r w:rsidRPr="0099469A">
        <w:rPr>
          <w:i/>
          <w:iCs/>
        </w:rPr>
        <w:t>mobile health</w:t>
      </w:r>
      <w:r w:rsidRPr="0099469A">
        <w:t xml:space="preserve"> en ruimer, </w:t>
      </w:r>
      <w:hyperlink r:id="rId9" w:tgtFrame="_blank" w:history="1">
        <w:r w:rsidRPr="0099469A">
          <w:rPr>
            <w:rStyle w:val="Hyperlink"/>
          </w:rPr>
          <w:t>digitale medische technologieën</w:t>
        </w:r>
      </w:hyperlink>
      <w:r w:rsidRPr="0099469A">
        <w:t xml:space="preserve"> (</w:t>
      </w:r>
      <w:r w:rsidRPr="0099469A">
        <w:rPr>
          <w:i/>
          <w:iCs/>
        </w:rPr>
        <w:t xml:space="preserve">digital </w:t>
      </w:r>
      <w:proofErr w:type="spellStart"/>
      <w:r w:rsidRPr="0099469A">
        <w:rPr>
          <w:i/>
          <w:iCs/>
        </w:rPr>
        <w:t>medtech</w:t>
      </w:r>
      <w:proofErr w:type="spellEnd"/>
      <w:r w:rsidRPr="0099469A">
        <w:t xml:space="preserve">) in ons land. </w:t>
      </w:r>
    </w:p>
    <w:p w14:paraId="441D2B6B" w14:textId="77777777" w:rsidR="00FF733B" w:rsidRPr="0099469A" w:rsidRDefault="00FF733B" w:rsidP="00FF733B">
      <w:pPr>
        <w:pStyle w:val="Lijstalinea"/>
        <w:numPr>
          <w:ilvl w:val="0"/>
          <w:numId w:val="4"/>
        </w:numPr>
      </w:pPr>
      <w:r w:rsidRPr="0099469A">
        <w:t xml:space="preserve">Er komt een </w:t>
      </w:r>
      <w:r w:rsidRPr="0099469A">
        <w:rPr>
          <w:b/>
          <w:bCs/>
        </w:rPr>
        <w:t>vaste werkgroep</w:t>
      </w:r>
      <w:r w:rsidRPr="0099469A">
        <w:t xml:space="preserve"> voor de beoordeling van aanvragen, aangevuld met ad-</w:t>
      </w:r>
      <w:proofErr w:type="spellStart"/>
      <w:r w:rsidRPr="0099469A">
        <w:t>hocleden</w:t>
      </w:r>
      <w:proofErr w:type="spellEnd"/>
      <w:r w:rsidRPr="0099469A">
        <w:t xml:space="preserve"> per dossier. Die vaste kern laat toe om expertise rond digital </w:t>
      </w:r>
      <w:proofErr w:type="spellStart"/>
      <w:r w:rsidRPr="0099469A">
        <w:t>medtech</w:t>
      </w:r>
      <w:proofErr w:type="spellEnd"/>
      <w:r w:rsidRPr="0099469A">
        <w:t xml:space="preserve"> op te bouwen.</w:t>
      </w:r>
    </w:p>
    <w:p w14:paraId="2E177858" w14:textId="0193B390" w:rsidR="00FF733B" w:rsidRPr="0099469A" w:rsidRDefault="00FF733B" w:rsidP="00FF733B">
      <w:pPr>
        <w:pStyle w:val="Lijstalinea"/>
        <w:numPr>
          <w:ilvl w:val="0"/>
          <w:numId w:val="4"/>
        </w:numPr>
      </w:pPr>
      <w:bookmarkStart w:id="0" w:name="_Hlk144828138"/>
      <w:r w:rsidRPr="0099469A">
        <w:t>In de vaste werkgroep zullen ook</w:t>
      </w:r>
      <w:r w:rsidR="00FC2900">
        <w:t xml:space="preserve"> </w:t>
      </w:r>
      <w:r w:rsidR="00FC2900" w:rsidRPr="00FC2900">
        <w:rPr>
          <w:b/>
          <w:bCs/>
        </w:rPr>
        <w:t>on</w:t>
      </w:r>
      <w:r w:rsidR="00FC2900">
        <w:rPr>
          <w:b/>
          <w:bCs/>
        </w:rPr>
        <w:t>a</w:t>
      </w:r>
      <w:r w:rsidR="00FC2900" w:rsidRPr="00FC2900">
        <w:rPr>
          <w:b/>
          <w:bCs/>
        </w:rPr>
        <w:t>fhankelijke</w:t>
      </w:r>
      <w:r w:rsidRPr="0099469A">
        <w:t xml:space="preserve"> </w:t>
      </w:r>
      <w:r w:rsidRPr="0099469A">
        <w:rPr>
          <w:b/>
          <w:bCs/>
        </w:rPr>
        <w:t>gezondheidseconomen</w:t>
      </w:r>
      <w:r w:rsidRPr="0099469A">
        <w:t xml:space="preserve"> zetelen. </w:t>
      </w:r>
      <w:r w:rsidRPr="00FF733B">
        <w:rPr>
          <w:highlight w:val="yellow"/>
        </w:rPr>
        <w:t>beMedTech pleit al langer om gezondheidseconomen een plaats te geven in ons overlegmodel</w:t>
      </w:r>
      <w:r w:rsidR="00FC2900">
        <w:rPr>
          <w:highlight w:val="yellow"/>
        </w:rPr>
        <w:t xml:space="preserve"> en </w:t>
      </w:r>
      <w:r w:rsidR="005576A4">
        <w:rPr>
          <w:highlight w:val="yellow"/>
        </w:rPr>
        <w:t xml:space="preserve">wordt daarin </w:t>
      </w:r>
      <w:r w:rsidR="0085685F">
        <w:rPr>
          <w:highlight w:val="yellow"/>
        </w:rPr>
        <w:t>bijgetreden</w:t>
      </w:r>
      <w:r w:rsidR="005576A4">
        <w:rPr>
          <w:highlight w:val="yellow"/>
        </w:rPr>
        <w:t xml:space="preserve"> door</w:t>
      </w:r>
      <w:r w:rsidR="00FC2900">
        <w:rPr>
          <w:highlight w:val="yellow"/>
        </w:rPr>
        <w:t xml:space="preserve"> </w:t>
      </w:r>
      <w:proofErr w:type="spellStart"/>
      <w:r w:rsidR="00FC2900">
        <w:rPr>
          <w:highlight w:val="yellow"/>
        </w:rPr>
        <w:t>Agoria</w:t>
      </w:r>
      <w:proofErr w:type="spellEnd"/>
      <w:r w:rsidRPr="00FF733B">
        <w:rPr>
          <w:highlight w:val="yellow"/>
        </w:rPr>
        <w:t>.</w:t>
      </w:r>
      <w:r w:rsidR="00FC2900">
        <w:rPr>
          <w:highlight w:val="yellow"/>
        </w:rPr>
        <w:t xml:space="preserve"> </w:t>
      </w:r>
      <w:r w:rsidRPr="00FF733B">
        <w:rPr>
          <w:highlight w:val="yellow"/>
        </w:rPr>
        <w:t>Dat dit nu voor het eerst effectief gebeurt, is een heuse doorbraak.</w:t>
      </w:r>
      <w:r w:rsidRPr="0099469A">
        <w:t xml:space="preserve"> Waarom </w:t>
      </w:r>
      <w:r>
        <w:t>beMedTech</w:t>
      </w:r>
      <w:r w:rsidRPr="0099469A">
        <w:t xml:space="preserve"> dat zo belangrijk vind</w:t>
      </w:r>
      <w:r>
        <w:t>t</w:t>
      </w:r>
      <w:r w:rsidRPr="0099469A">
        <w:t xml:space="preserve">, lees je </w:t>
      </w:r>
      <w:r>
        <w:t xml:space="preserve">in </w:t>
      </w:r>
      <w:hyperlink r:id="rId10" w:tgtFrame="_blank" w:history="1">
        <w:r>
          <w:rPr>
            <w:rStyle w:val="Hyperlink"/>
          </w:rPr>
          <w:t>dit opiniestuk</w:t>
        </w:r>
      </w:hyperlink>
      <w:r>
        <w:t xml:space="preserve"> van Marnix Denys, managing director van beMedTech.</w:t>
      </w:r>
    </w:p>
    <w:bookmarkEnd w:id="0"/>
    <w:p w14:paraId="5D750E70" w14:textId="77777777" w:rsidR="00FF733B" w:rsidRPr="0099469A" w:rsidRDefault="00FF733B" w:rsidP="00FF733B">
      <w:pPr>
        <w:pStyle w:val="Lijstalinea"/>
        <w:numPr>
          <w:ilvl w:val="0"/>
          <w:numId w:val="4"/>
        </w:numPr>
      </w:pPr>
      <w:r w:rsidRPr="0099469A">
        <w:t xml:space="preserve">De werkgroep zal </w:t>
      </w:r>
      <w:r w:rsidRPr="0099469A">
        <w:rPr>
          <w:b/>
          <w:bCs/>
        </w:rPr>
        <w:t>elke maand</w:t>
      </w:r>
      <w:r w:rsidRPr="0099469A">
        <w:t xml:space="preserve"> samenkomen. Zo’n vaste frequentie helpt om meer vaart te brengen in het </w:t>
      </w:r>
      <w:r w:rsidRPr="0099469A">
        <w:rPr>
          <w:i/>
          <w:iCs/>
        </w:rPr>
        <w:t xml:space="preserve">digital </w:t>
      </w:r>
      <w:proofErr w:type="spellStart"/>
      <w:r w:rsidRPr="0099469A">
        <w:rPr>
          <w:i/>
          <w:iCs/>
        </w:rPr>
        <w:t>medtech</w:t>
      </w:r>
      <w:proofErr w:type="spellEnd"/>
      <w:r w:rsidRPr="0099469A">
        <w:t>-verhaal.</w:t>
      </w:r>
    </w:p>
    <w:p w14:paraId="6EB7CACE" w14:textId="77777777" w:rsidR="00FF733B" w:rsidRDefault="00FF733B" w:rsidP="00FF733B">
      <w:pPr>
        <w:pStyle w:val="Lijstalinea"/>
        <w:numPr>
          <w:ilvl w:val="0"/>
          <w:numId w:val="4"/>
        </w:numPr>
      </w:pPr>
      <w:r w:rsidRPr="0099469A">
        <w:t xml:space="preserve">Naast bedrijven kunnen straks ook andere organisaties een aanvraag indienen, bijv. wetenschappelijke verenigingen, beroepsorganisaties, ziekenhuizen… Die uitbreiding onderstreept het belang van het </w:t>
      </w:r>
      <w:r w:rsidRPr="0099469A">
        <w:rPr>
          <w:b/>
          <w:bCs/>
        </w:rPr>
        <w:t>ecosysteem</w:t>
      </w:r>
      <w:r w:rsidRPr="0099469A">
        <w:t xml:space="preserve">: </w:t>
      </w:r>
      <w:r w:rsidRPr="0099469A">
        <w:rPr>
          <w:i/>
          <w:iCs/>
        </w:rPr>
        <w:t xml:space="preserve">digital </w:t>
      </w:r>
      <w:proofErr w:type="spellStart"/>
      <w:r w:rsidRPr="0099469A">
        <w:rPr>
          <w:i/>
          <w:iCs/>
        </w:rPr>
        <w:t>medtech</w:t>
      </w:r>
      <w:proofErr w:type="spellEnd"/>
      <w:r w:rsidRPr="0099469A">
        <w:t xml:space="preserve"> is een verhaal van patiënten, zorgverleners en -instellingen, bedrijven en de maatschappij</w:t>
      </w:r>
      <w:r>
        <w:t>.</w:t>
      </w:r>
    </w:p>
    <w:p w14:paraId="1BEC4529" w14:textId="77777777" w:rsidR="00FF733B" w:rsidRDefault="00FF733B" w:rsidP="00FF733B">
      <w:pPr>
        <w:pStyle w:val="Lijstalinea"/>
        <w:numPr>
          <w:ilvl w:val="0"/>
          <w:numId w:val="4"/>
        </w:numPr>
      </w:pPr>
      <w:r>
        <w:t xml:space="preserve">Er is een (niet-bindende) </w:t>
      </w:r>
      <w:r w:rsidRPr="00E30F6C">
        <w:rPr>
          <w:b/>
          <w:bCs/>
        </w:rPr>
        <w:t>tijdslijn</w:t>
      </w:r>
      <w:r>
        <w:t xml:space="preserve"> opgesteld voor de voortgang van aanvraagdossiers. Die laat bedrijven toe om beter te plannen. </w:t>
      </w:r>
    </w:p>
    <w:p w14:paraId="52260757" w14:textId="77777777" w:rsidR="00FF733B" w:rsidRDefault="00FF733B" w:rsidP="00FF733B">
      <w:pPr>
        <w:pStyle w:val="Lijstalinea"/>
        <w:numPr>
          <w:ilvl w:val="0"/>
          <w:numId w:val="4"/>
        </w:numPr>
      </w:pPr>
      <w:r>
        <w:t xml:space="preserve">Er komt een duidelijk traject voor de </w:t>
      </w:r>
      <w:r w:rsidRPr="00CE2713">
        <w:rPr>
          <w:b/>
          <w:bCs/>
        </w:rPr>
        <w:t>tijdelijke financiering</w:t>
      </w:r>
      <w:r>
        <w:t xml:space="preserve"> van veelbelovende innovatieve toepassingen die nog niet alle data hebben verzameld voor een definitieve financiering.</w:t>
      </w:r>
    </w:p>
    <w:p w14:paraId="62F40571" w14:textId="17F47F75" w:rsidR="00FF733B" w:rsidRPr="00FF733B" w:rsidRDefault="00FF733B" w:rsidP="00FF733B">
      <w:pPr>
        <w:spacing w:before="100" w:beforeAutospacing="1" w:after="100" w:afterAutospacing="1" w:line="240" w:lineRule="auto"/>
        <w:rPr>
          <w:rFonts w:ascii="Times New Roman" w:eastAsia="Times New Roman" w:hAnsi="Times New Roman" w:cs="Times New Roman"/>
          <w:sz w:val="24"/>
          <w:szCs w:val="24"/>
          <w:lang w:eastAsia="nl-NL"/>
        </w:rPr>
      </w:pPr>
    </w:p>
    <w:p w14:paraId="43C781FC" w14:textId="1DB0A9A5" w:rsidR="00FF733B" w:rsidRPr="00FF733B" w:rsidRDefault="00FF733B" w:rsidP="00FF733B">
      <w:pPr>
        <w:pStyle w:val="Normaalweb"/>
        <w:rPr>
          <w:rFonts w:asciiTheme="minorHAnsi" w:hAnsiTheme="minorHAnsi" w:cstheme="minorHAnsi"/>
          <w:sz w:val="22"/>
          <w:szCs w:val="22"/>
        </w:rPr>
      </w:pPr>
    </w:p>
    <w:p w14:paraId="0BA35798" w14:textId="77777777" w:rsidR="00FF733B" w:rsidRDefault="00FF733B" w:rsidP="0082462F"/>
    <w:p w14:paraId="7110EABE" w14:textId="77777777" w:rsidR="00FF733B" w:rsidRDefault="00FF733B" w:rsidP="00FF733B">
      <w:pPr>
        <w:rPr>
          <w:b/>
          <w:bCs/>
        </w:rPr>
      </w:pPr>
      <w:r>
        <w:rPr>
          <w:b/>
          <w:bCs/>
        </w:rPr>
        <w:t>… maar g</w:t>
      </w:r>
      <w:r w:rsidRPr="00F9483B">
        <w:rPr>
          <w:b/>
          <w:bCs/>
        </w:rPr>
        <w:t xml:space="preserve">een eindstation </w:t>
      </w:r>
      <w:r>
        <w:rPr>
          <w:b/>
          <w:bCs/>
        </w:rPr>
        <w:t xml:space="preserve"> </w:t>
      </w:r>
    </w:p>
    <w:p w14:paraId="310A704A" w14:textId="507EA7FE" w:rsidR="00FF733B" w:rsidRDefault="00FF733B" w:rsidP="00FF733B">
      <w:r w:rsidRPr="00776F4D">
        <w:t>D</w:t>
      </w:r>
      <w:r>
        <w:t>at we verschillende</w:t>
      </w:r>
      <w:r w:rsidRPr="00776F4D">
        <w:t xml:space="preserve"> </w:t>
      </w:r>
      <w:r>
        <w:t xml:space="preserve">stappen vooruit hebben gezet, betekent evenwel niet dat het eindstation is bereikt. Dat beseft ook het Riziv. Er zijn nog enkele belangrijke knelpunten die we absoluut moeten oplossen. beMedTech en </w:t>
      </w:r>
      <w:proofErr w:type="spellStart"/>
      <w:r>
        <w:t>Agoria</w:t>
      </w:r>
      <w:proofErr w:type="spellEnd"/>
      <w:r>
        <w:t xml:space="preserve"> blijven daarover in overleg gaan met de overheid. </w:t>
      </w:r>
    </w:p>
    <w:p w14:paraId="788284B2" w14:textId="5C78B4DF" w:rsidR="00FF733B" w:rsidRDefault="00FF733B" w:rsidP="00FF733B">
      <w:pPr>
        <w:pStyle w:val="Lijstalinea"/>
        <w:numPr>
          <w:ilvl w:val="0"/>
          <w:numId w:val="4"/>
        </w:numPr>
      </w:pPr>
      <w:r>
        <w:t xml:space="preserve">Het is positief dat er tijdslijnen komen, maar de </w:t>
      </w:r>
      <w:r w:rsidRPr="000A76E5">
        <w:rPr>
          <w:b/>
          <w:bCs/>
        </w:rPr>
        <w:t>doorlooptijden zijn nog te lang</w:t>
      </w:r>
      <w:r>
        <w:t xml:space="preserve">. Dat geldt bij uitstek voor tijdelijke financiering. </w:t>
      </w:r>
      <w:r w:rsidRPr="00FF733B">
        <w:rPr>
          <w:highlight w:val="yellow"/>
        </w:rPr>
        <w:t>De doorlooptijd voor een aanvraag voor tijdelijke financiering bedraagt minimaal 12 à 15 maanden. Ter vergelijking: in Duitsland en Frankrijk is dat slechts 3 maanden.</w:t>
      </w:r>
      <w:r>
        <w:t xml:space="preserve"> </w:t>
      </w:r>
      <w:r>
        <w:br/>
      </w:r>
      <w:r>
        <w:br/>
        <w:t xml:space="preserve">Het risico is dat weinig of geen bedrijven die procedure zullen doorlopen </w:t>
      </w:r>
      <w:r w:rsidRPr="00FF733B">
        <w:t>in België,</w:t>
      </w:r>
      <w:r>
        <w:t xml:space="preserve"> waardoor veelbelovende toepassingen pas later tot bij zorgverleners en patiënten geraken. </w:t>
      </w:r>
    </w:p>
    <w:p w14:paraId="42299B3F" w14:textId="77777777" w:rsidR="00FF733B" w:rsidRDefault="00FF733B" w:rsidP="00FF733B">
      <w:pPr>
        <w:pStyle w:val="Lijstalinea"/>
      </w:pPr>
    </w:p>
    <w:p w14:paraId="5135A005" w14:textId="77777777" w:rsidR="00FF733B" w:rsidRDefault="00FF733B" w:rsidP="00FF733B">
      <w:pPr>
        <w:pStyle w:val="Lijstalinea"/>
        <w:numPr>
          <w:ilvl w:val="0"/>
          <w:numId w:val="4"/>
        </w:numPr>
      </w:pPr>
      <w:r>
        <w:t xml:space="preserve">Digitale technologieën evolueren razendsnel. Om de kansen die </w:t>
      </w:r>
      <w:r w:rsidRPr="00334E43">
        <w:rPr>
          <w:i/>
          <w:iCs/>
        </w:rPr>
        <w:t xml:space="preserve">digital </w:t>
      </w:r>
      <w:proofErr w:type="spellStart"/>
      <w:r w:rsidRPr="00334E43">
        <w:rPr>
          <w:i/>
          <w:iCs/>
        </w:rPr>
        <w:t>medtech</w:t>
      </w:r>
      <w:proofErr w:type="spellEnd"/>
      <w:r>
        <w:t xml:space="preserve"> biedt voor patiënten, zorgverleners en het zorgsysteem optimaal te benutten, is het cruciaal dat we </w:t>
      </w:r>
      <w:r w:rsidRPr="00C92887">
        <w:rPr>
          <w:b/>
          <w:bCs/>
        </w:rPr>
        <w:t>snel en wendbaar</w:t>
      </w:r>
      <w:r>
        <w:t xml:space="preserve"> kunnen inspelen op die evoluties. Dat vraagt een versterking van de kennis en de capaciteit rond </w:t>
      </w:r>
      <w:r w:rsidRPr="001E4ED9">
        <w:rPr>
          <w:i/>
          <w:iCs/>
        </w:rPr>
        <w:t xml:space="preserve">digital </w:t>
      </w:r>
      <w:proofErr w:type="spellStart"/>
      <w:r w:rsidRPr="001E4ED9">
        <w:rPr>
          <w:i/>
          <w:iCs/>
        </w:rPr>
        <w:t>medtech</w:t>
      </w:r>
      <w:proofErr w:type="spellEnd"/>
      <w:r>
        <w:t xml:space="preserve"> binnen de gezondheidsadministraties. </w:t>
      </w:r>
      <w:r>
        <w:br/>
      </w:r>
    </w:p>
    <w:p w14:paraId="1148BB62" w14:textId="77777777" w:rsidR="00FF733B" w:rsidRDefault="00FF733B" w:rsidP="00FF733B">
      <w:pPr>
        <w:pStyle w:val="Lijstalinea"/>
        <w:numPr>
          <w:ilvl w:val="0"/>
          <w:numId w:val="4"/>
        </w:numPr>
      </w:pPr>
      <w:r>
        <w:t xml:space="preserve">Ook binnen de nieuwe aanvraagprocedure blijft de </w:t>
      </w:r>
      <w:r w:rsidRPr="006F071A">
        <w:rPr>
          <w:b/>
          <w:bCs/>
        </w:rPr>
        <w:t>visie op de financiering</w:t>
      </w:r>
      <w:r>
        <w:t xml:space="preserve"> van </w:t>
      </w:r>
      <w:r w:rsidRPr="00A21AEC">
        <w:rPr>
          <w:i/>
          <w:iCs/>
        </w:rPr>
        <w:t xml:space="preserve">digital </w:t>
      </w:r>
      <w:proofErr w:type="spellStart"/>
      <w:r w:rsidRPr="00A21AEC">
        <w:rPr>
          <w:i/>
          <w:iCs/>
        </w:rPr>
        <w:t>medtech</w:t>
      </w:r>
      <w:proofErr w:type="spellEnd"/>
      <w:r>
        <w:t xml:space="preserve">-toepassingen nog te eng. Digitale medische technologieën veranderen de manier waarop we aan zorg doen. Ze vallen in die zin niet te vergelijken met traditionele medische technologieën. </w:t>
      </w:r>
      <w:r>
        <w:br/>
      </w:r>
      <w:r>
        <w:br/>
        <w:t xml:space="preserve">Een duurzame financiering van </w:t>
      </w:r>
      <w:r w:rsidRPr="00DF3CD8">
        <w:rPr>
          <w:i/>
          <w:iCs/>
        </w:rPr>
        <w:t xml:space="preserve">digital </w:t>
      </w:r>
      <w:proofErr w:type="spellStart"/>
      <w:r w:rsidRPr="00DF3CD8">
        <w:rPr>
          <w:i/>
          <w:iCs/>
        </w:rPr>
        <w:t>medtech</w:t>
      </w:r>
      <w:proofErr w:type="spellEnd"/>
      <w:r>
        <w:t xml:space="preserve"> vraagt dan ook andere instrumenten, bijv. zorgtrajecten en </w:t>
      </w:r>
      <w:proofErr w:type="spellStart"/>
      <w:r w:rsidRPr="001C3AFA">
        <w:rPr>
          <w:i/>
          <w:iCs/>
        </w:rPr>
        <w:t>outcome-based</w:t>
      </w:r>
      <w:proofErr w:type="spellEnd"/>
      <w:r w:rsidRPr="001C3AFA">
        <w:rPr>
          <w:i/>
          <w:iCs/>
        </w:rPr>
        <w:t xml:space="preserve"> </w:t>
      </w:r>
      <w:proofErr w:type="spellStart"/>
      <w:r w:rsidRPr="001C3AFA">
        <w:rPr>
          <w:i/>
          <w:iCs/>
        </w:rPr>
        <w:t>bundled</w:t>
      </w:r>
      <w:proofErr w:type="spellEnd"/>
      <w:r w:rsidRPr="001C3AFA">
        <w:rPr>
          <w:i/>
          <w:iCs/>
        </w:rPr>
        <w:t xml:space="preserve"> </w:t>
      </w:r>
      <w:proofErr w:type="spellStart"/>
      <w:r w:rsidRPr="001C3AFA">
        <w:rPr>
          <w:i/>
          <w:iCs/>
        </w:rPr>
        <w:t>payments</w:t>
      </w:r>
      <w:proofErr w:type="spellEnd"/>
      <w:r>
        <w:rPr>
          <w:i/>
          <w:iCs/>
        </w:rPr>
        <w:t>.</w:t>
      </w:r>
      <w:r>
        <w:t xml:space="preserve"> Belangrijk is dat de focus niet louter ligt op een </w:t>
      </w:r>
      <w:proofErr w:type="spellStart"/>
      <w:r>
        <w:t>zorgact</w:t>
      </w:r>
      <w:proofErr w:type="spellEnd"/>
      <w:r>
        <w:t xml:space="preserve"> of een technologie maar op het totaalpakket aan zorg en de </w:t>
      </w:r>
      <w:proofErr w:type="spellStart"/>
      <w:r w:rsidRPr="007F0192">
        <w:rPr>
          <w:i/>
          <w:iCs/>
        </w:rPr>
        <w:t>outcome</w:t>
      </w:r>
      <w:proofErr w:type="spellEnd"/>
      <w:r>
        <w:t>.</w:t>
      </w:r>
    </w:p>
    <w:p w14:paraId="2E4950BB" w14:textId="3099D5A8" w:rsidR="00FF733B" w:rsidRDefault="00FF733B" w:rsidP="00FF733B">
      <w:r>
        <w:t xml:space="preserve">Samengevat? We zijn zeker en vast op de goede weg. </w:t>
      </w:r>
      <w:r>
        <w:rPr>
          <w:noProof/>
        </w:rPr>
        <w:t>Intussen blijven we in dialoog gaan met de overheid om extra stappen vooruit te zetten.</w:t>
      </w:r>
      <w:r>
        <w:t xml:space="preserve"> </w:t>
      </w:r>
      <w:r>
        <w:br/>
      </w:r>
    </w:p>
    <w:p w14:paraId="0369B5EF" w14:textId="77777777" w:rsidR="00963F93" w:rsidRDefault="00963F93" w:rsidP="00FF733B"/>
    <w:p w14:paraId="722455D3" w14:textId="62528E42" w:rsidR="00963F93" w:rsidRDefault="00963F93" w:rsidP="00FF733B"/>
    <w:p w14:paraId="66DF92C1" w14:textId="142858D7" w:rsidR="00FF733B" w:rsidRPr="00DA623C" w:rsidRDefault="00963F93" w:rsidP="00FF733B">
      <w:pPr>
        <w:rPr>
          <w:b/>
          <w:bCs/>
          <w:sz w:val="20"/>
          <w:szCs w:val="20"/>
        </w:rPr>
      </w:pPr>
      <w:r>
        <w:rPr>
          <w:noProof/>
        </w:rPr>
        <w:drawing>
          <wp:anchor distT="0" distB="0" distL="114300" distR="114300" simplePos="0" relativeHeight="251661824" behindDoc="0" locked="0" layoutInCell="1" allowOverlap="1" wp14:anchorId="6177AE6B" wp14:editId="4D139395">
            <wp:simplePos x="0" y="0"/>
            <wp:positionH relativeFrom="margin">
              <wp:align>left</wp:align>
            </wp:positionH>
            <wp:positionV relativeFrom="paragraph">
              <wp:posOffset>22225</wp:posOffset>
            </wp:positionV>
            <wp:extent cx="838200" cy="838200"/>
            <wp:effectExtent l="0" t="0" r="0" b="0"/>
            <wp:wrapSquare wrapText="bothSides"/>
            <wp:docPr id="1640296506" name="Afbeelding 4" descr="Afbeelding met persoon, Menselijk gezicht, person,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296506" name="Afbeelding 4" descr="Afbeelding met persoon, Menselijk gezicht, person, kleding&#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33B" w:rsidRPr="00DA623C">
        <w:rPr>
          <w:b/>
          <w:bCs/>
          <w:sz w:val="20"/>
          <w:szCs w:val="20"/>
        </w:rPr>
        <w:t>Meer info?</w:t>
      </w:r>
    </w:p>
    <w:p w14:paraId="2A0DF472" w14:textId="1B6FBA6A" w:rsidR="00FF733B" w:rsidRPr="00963F93" w:rsidRDefault="00FF733B" w:rsidP="00FF733B">
      <w:pPr>
        <w:rPr>
          <w:sz w:val="20"/>
          <w:szCs w:val="20"/>
        </w:rPr>
      </w:pPr>
      <w:r>
        <w:rPr>
          <w:sz w:val="20"/>
          <w:szCs w:val="20"/>
        </w:rPr>
        <w:t xml:space="preserve">Steven Vandeput, expert digital </w:t>
      </w:r>
      <w:proofErr w:type="spellStart"/>
      <w:r>
        <w:rPr>
          <w:sz w:val="20"/>
          <w:szCs w:val="20"/>
        </w:rPr>
        <w:t>medtech</w:t>
      </w:r>
      <w:proofErr w:type="spellEnd"/>
      <w:r>
        <w:rPr>
          <w:sz w:val="20"/>
          <w:szCs w:val="20"/>
        </w:rPr>
        <w:t xml:space="preserve">, </w:t>
      </w:r>
      <w:r w:rsidRPr="00F51A77">
        <w:rPr>
          <w:sz w:val="20"/>
          <w:szCs w:val="20"/>
        </w:rPr>
        <w:t>beMedTech</w:t>
      </w:r>
      <w:r w:rsidRPr="00F51A77">
        <w:rPr>
          <w:sz w:val="20"/>
          <w:szCs w:val="20"/>
        </w:rPr>
        <w:br/>
      </w:r>
      <w:hyperlink r:id="rId12" w:history="1">
        <w:r w:rsidRPr="006949CF">
          <w:rPr>
            <w:rStyle w:val="Hyperlink"/>
            <w:sz w:val="20"/>
            <w:szCs w:val="20"/>
          </w:rPr>
          <w:t>s.vandeput@bemedtech.be</w:t>
        </w:r>
      </w:hyperlink>
      <w:r w:rsidR="00963F93">
        <w:rPr>
          <w:sz w:val="20"/>
          <w:szCs w:val="20"/>
        </w:rPr>
        <w:br/>
        <w:t>+32 485 00 48 18</w:t>
      </w:r>
    </w:p>
    <w:sectPr w:rsidR="00FF733B" w:rsidRPr="00963F93" w:rsidSect="004A04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DC4D" w14:textId="77777777" w:rsidR="004D3963" w:rsidRDefault="004D3963" w:rsidP="00116CFC">
      <w:pPr>
        <w:spacing w:after="0" w:line="240" w:lineRule="auto"/>
      </w:pPr>
      <w:r>
        <w:separator/>
      </w:r>
    </w:p>
  </w:endnote>
  <w:endnote w:type="continuationSeparator" w:id="0">
    <w:p w14:paraId="3BBDAF80" w14:textId="77777777" w:rsidR="004D3963" w:rsidRDefault="004D3963" w:rsidP="0011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318666"/>
      <w:docPartObj>
        <w:docPartGallery w:val="Page Numbers (Bottom of Page)"/>
        <w:docPartUnique/>
      </w:docPartObj>
    </w:sdtPr>
    <w:sdtEndPr/>
    <w:sdtContent>
      <w:sdt>
        <w:sdtPr>
          <w:id w:val="-1769616900"/>
          <w:docPartObj>
            <w:docPartGallery w:val="Page Numbers (Top of Page)"/>
            <w:docPartUnique/>
          </w:docPartObj>
        </w:sdtPr>
        <w:sdtEndPr/>
        <w:sdtContent>
          <w:p w14:paraId="47CE54C7" w14:textId="0B05E87E" w:rsidR="00B55C11" w:rsidRDefault="00B55C1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20C2172" w14:textId="77777777" w:rsidR="00B55C11" w:rsidRDefault="00B5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9064" w14:textId="77777777" w:rsidR="004D3963" w:rsidRDefault="004D3963" w:rsidP="00116CFC">
      <w:pPr>
        <w:spacing w:after="0" w:line="240" w:lineRule="auto"/>
      </w:pPr>
      <w:r>
        <w:separator/>
      </w:r>
    </w:p>
  </w:footnote>
  <w:footnote w:type="continuationSeparator" w:id="0">
    <w:p w14:paraId="779DF54D" w14:textId="77777777" w:rsidR="004D3963" w:rsidRDefault="004D3963" w:rsidP="0011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8CD1" w14:textId="409823D6" w:rsidR="00B55C11" w:rsidRPr="00B55C11" w:rsidRDefault="00FF733B" w:rsidP="008A5F12">
    <w:pPr>
      <w:pStyle w:val="Koptekst"/>
      <w:jc w:val="center"/>
    </w:pPr>
    <w:r>
      <w:rPr>
        <w:noProof/>
      </w:rPr>
      <w:drawing>
        <wp:anchor distT="0" distB="0" distL="114300" distR="114300" simplePos="0" relativeHeight="251658240" behindDoc="1" locked="0" layoutInCell="1" allowOverlap="1" wp14:anchorId="1A0C2440" wp14:editId="49A00753">
          <wp:simplePos x="0" y="0"/>
          <wp:positionH relativeFrom="margin">
            <wp:posOffset>1457325</wp:posOffset>
          </wp:positionH>
          <wp:positionV relativeFrom="paragraph">
            <wp:posOffset>-211455</wp:posOffset>
          </wp:positionV>
          <wp:extent cx="1352550" cy="676275"/>
          <wp:effectExtent l="0" t="0" r="0" b="0"/>
          <wp:wrapTight wrapText="bothSides">
            <wp:wrapPolygon edited="0">
              <wp:start x="0" y="0"/>
              <wp:lineTo x="0" y="20687"/>
              <wp:lineTo x="21296" y="20687"/>
              <wp:lineTo x="21296" y="0"/>
              <wp:lineTo x="0" y="0"/>
            </wp:wrapPolygon>
          </wp:wrapTight>
          <wp:docPr id="132055420" name="Afbeelding 1" descr="beMedtech Belgische federatie van de medische technologieë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Medtech Belgische federatie van de medische technologieë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C20695" wp14:editId="0DB206FA">
          <wp:simplePos x="0" y="0"/>
          <wp:positionH relativeFrom="column">
            <wp:posOffset>2819400</wp:posOffset>
          </wp:positionH>
          <wp:positionV relativeFrom="paragraph">
            <wp:posOffset>-57785</wp:posOffset>
          </wp:positionV>
          <wp:extent cx="990600" cy="521970"/>
          <wp:effectExtent l="0" t="0" r="0" b="0"/>
          <wp:wrapSquare wrapText="bothSides"/>
          <wp:docPr id="131270427" name="Afbeelding 2" descr="TWIST - Membres - Ag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ST - Membres - Ag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C11" w:rsidRPr="00B55C11">
      <w:rPr>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6CF"/>
    <w:multiLevelType w:val="hybridMultilevel"/>
    <w:tmpl w:val="F7D2B796"/>
    <w:lvl w:ilvl="0" w:tplc="2570A4B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47A47"/>
    <w:multiLevelType w:val="hybridMultilevel"/>
    <w:tmpl w:val="CC649690"/>
    <w:lvl w:ilvl="0" w:tplc="87567DE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A95531"/>
    <w:multiLevelType w:val="hybridMultilevel"/>
    <w:tmpl w:val="288E207C"/>
    <w:lvl w:ilvl="0" w:tplc="7C1491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2644AB"/>
    <w:multiLevelType w:val="hybridMultilevel"/>
    <w:tmpl w:val="FE2A3C8E"/>
    <w:lvl w:ilvl="0" w:tplc="3A1E16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D92CCD"/>
    <w:multiLevelType w:val="hybridMultilevel"/>
    <w:tmpl w:val="72AE0F92"/>
    <w:lvl w:ilvl="0" w:tplc="B2EEE6EC">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9794430">
    <w:abstractNumId w:val="4"/>
  </w:num>
  <w:num w:numId="2" w16cid:durableId="1935361656">
    <w:abstractNumId w:val="3"/>
  </w:num>
  <w:num w:numId="3" w16cid:durableId="1436097388">
    <w:abstractNumId w:val="2"/>
  </w:num>
  <w:num w:numId="4" w16cid:durableId="1608150047">
    <w:abstractNumId w:val="1"/>
  </w:num>
  <w:num w:numId="5" w16cid:durableId="198878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18"/>
    <w:rsid w:val="00017062"/>
    <w:rsid w:val="00096DD2"/>
    <w:rsid w:val="000B53E9"/>
    <w:rsid w:val="000B5DE9"/>
    <w:rsid w:val="000D3614"/>
    <w:rsid w:val="000F20FF"/>
    <w:rsid w:val="000F5EEE"/>
    <w:rsid w:val="001148A1"/>
    <w:rsid w:val="00116CFC"/>
    <w:rsid w:val="001225BE"/>
    <w:rsid w:val="001234BD"/>
    <w:rsid w:val="0014505A"/>
    <w:rsid w:val="001639DD"/>
    <w:rsid w:val="0017161B"/>
    <w:rsid w:val="001B6B59"/>
    <w:rsid w:val="001C01DB"/>
    <w:rsid w:val="001F72BF"/>
    <w:rsid w:val="001F7F36"/>
    <w:rsid w:val="00236ECF"/>
    <w:rsid w:val="00241871"/>
    <w:rsid w:val="00247A78"/>
    <w:rsid w:val="00250F74"/>
    <w:rsid w:val="00287919"/>
    <w:rsid w:val="002C639F"/>
    <w:rsid w:val="002C6475"/>
    <w:rsid w:val="002F3159"/>
    <w:rsid w:val="0030599C"/>
    <w:rsid w:val="00322B8D"/>
    <w:rsid w:val="00363B27"/>
    <w:rsid w:val="00375030"/>
    <w:rsid w:val="00377111"/>
    <w:rsid w:val="003E1820"/>
    <w:rsid w:val="00405E16"/>
    <w:rsid w:val="00407718"/>
    <w:rsid w:val="00460C9F"/>
    <w:rsid w:val="004A04D2"/>
    <w:rsid w:val="004D042D"/>
    <w:rsid w:val="004D3963"/>
    <w:rsid w:val="004E1192"/>
    <w:rsid w:val="00500B6D"/>
    <w:rsid w:val="005266CA"/>
    <w:rsid w:val="0053099F"/>
    <w:rsid w:val="00532DB8"/>
    <w:rsid w:val="00534195"/>
    <w:rsid w:val="0054104C"/>
    <w:rsid w:val="00541624"/>
    <w:rsid w:val="00546D1E"/>
    <w:rsid w:val="00547BD6"/>
    <w:rsid w:val="005576A4"/>
    <w:rsid w:val="0055798A"/>
    <w:rsid w:val="0057159A"/>
    <w:rsid w:val="0059023E"/>
    <w:rsid w:val="005A0734"/>
    <w:rsid w:val="005B24C1"/>
    <w:rsid w:val="005B57BF"/>
    <w:rsid w:val="005C2DCB"/>
    <w:rsid w:val="005E1909"/>
    <w:rsid w:val="005F069A"/>
    <w:rsid w:val="006037C9"/>
    <w:rsid w:val="006060B3"/>
    <w:rsid w:val="00617113"/>
    <w:rsid w:val="00660F31"/>
    <w:rsid w:val="0066285B"/>
    <w:rsid w:val="00686DCD"/>
    <w:rsid w:val="006907A2"/>
    <w:rsid w:val="006A6518"/>
    <w:rsid w:val="006C60F7"/>
    <w:rsid w:val="006D75B5"/>
    <w:rsid w:val="007121E0"/>
    <w:rsid w:val="00726636"/>
    <w:rsid w:val="00735B0B"/>
    <w:rsid w:val="00777580"/>
    <w:rsid w:val="00781997"/>
    <w:rsid w:val="007A0C79"/>
    <w:rsid w:val="007A333B"/>
    <w:rsid w:val="007E023E"/>
    <w:rsid w:val="00812737"/>
    <w:rsid w:val="0082447E"/>
    <w:rsid w:val="0082462F"/>
    <w:rsid w:val="00846B9A"/>
    <w:rsid w:val="0085685F"/>
    <w:rsid w:val="00875C68"/>
    <w:rsid w:val="008A0AD1"/>
    <w:rsid w:val="008A40C2"/>
    <w:rsid w:val="008A56CB"/>
    <w:rsid w:val="008A5F12"/>
    <w:rsid w:val="008B07E7"/>
    <w:rsid w:val="008C120D"/>
    <w:rsid w:val="008D4135"/>
    <w:rsid w:val="008D6B33"/>
    <w:rsid w:val="00901AD9"/>
    <w:rsid w:val="00937E18"/>
    <w:rsid w:val="00963F93"/>
    <w:rsid w:val="00976CE7"/>
    <w:rsid w:val="00987441"/>
    <w:rsid w:val="00993D46"/>
    <w:rsid w:val="009B1856"/>
    <w:rsid w:val="009D3C00"/>
    <w:rsid w:val="00A02C4F"/>
    <w:rsid w:val="00A51239"/>
    <w:rsid w:val="00AA01F0"/>
    <w:rsid w:val="00AA02CA"/>
    <w:rsid w:val="00B06D88"/>
    <w:rsid w:val="00B119FE"/>
    <w:rsid w:val="00B41758"/>
    <w:rsid w:val="00B55C11"/>
    <w:rsid w:val="00B743E8"/>
    <w:rsid w:val="00BD21F9"/>
    <w:rsid w:val="00BD3361"/>
    <w:rsid w:val="00BD5A40"/>
    <w:rsid w:val="00BF403C"/>
    <w:rsid w:val="00C04D7B"/>
    <w:rsid w:val="00C2002E"/>
    <w:rsid w:val="00C44B1A"/>
    <w:rsid w:val="00C519C4"/>
    <w:rsid w:val="00C54C3F"/>
    <w:rsid w:val="00C577D7"/>
    <w:rsid w:val="00C62DB2"/>
    <w:rsid w:val="00C86B40"/>
    <w:rsid w:val="00C94803"/>
    <w:rsid w:val="00CB0098"/>
    <w:rsid w:val="00CB3DF1"/>
    <w:rsid w:val="00CC0103"/>
    <w:rsid w:val="00CE474B"/>
    <w:rsid w:val="00CE5FFE"/>
    <w:rsid w:val="00D056FB"/>
    <w:rsid w:val="00D343E5"/>
    <w:rsid w:val="00D66B17"/>
    <w:rsid w:val="00D80CE7"/>
    <w:rsid w:val="00DE206F"/>
    <w:rsid w:val="00E178F5"/>
    <w:rsid w:val="00E349F8"/>
    <w:rsid w:val="00E5037E"/>
    <w:rsid w:val="00E83EAC"/>
    <w:rsid w:val="00E93CA9"/>
    <w:rsid w:val="00EA4D47"/>
    <w:rsid w:val="00EB00EE"/>
    <w:rsid w:val="00EB158D"/>
    <w:rsid w:val="00EB4E2E"/>
    <w:rsid w:val="00EC4C97"/>
    <w:rsid w:val="00EE570E"/>
    <w:rsid w:val="00EF1AE9"/>
    <w:rsid w:val="00F04FAA"/>
    <w:rsid w:val="00F37354"/>
    <w:rsid w:val="00F82A10"/>
    <w:rsid w:val="00FC2900"/>
    <w:rsid w:val="00FE6224"/>
    <w:rsid w:val="00FF257A"/>
    <w:rsid w:val="00FF469D"/>
    <w:rsid w:val="00FF733B"/>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38B8"/>
  <w15:chartTrackingRefBased/>
  <w15:docId w15:val="{00CC2F2C-05D3-414C-99CC-0A1A3203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FF733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639F"/>
    <w:rPr>
      <w:color w:val="0563C1" w:themeColor="hyperlink"/>
      <w:u w:val="single"/>
    </w:rPr>
  </w:style>
  <w:style w:type="character" w:styleId="Onopgelostemelding">
    <w:name w:val="Unresolved Mention"/>
    <w:basedOn w:val="Standaardalinea-lettertype"/>
    <w:uiPriority w:val="99"/>
    <w:semiHidden/>
    <w:unhideWhenUsed/>
    <w:rsid w:val="002C639F"/>
    <w:rPr>
      <w:color w:val="605E5C"/>
      <w:shd w:val="clear" w:color="auto" w:fill="E1DFDD"/>
    </w:rPr>
  </w:style>
  <w:style w:type="character" w:styleId="GevolgdeHyperlink">
    <w:name w:val="FollowedHyperlink"/>
    <w:basedOn w:val="Standaardalinea-lettertype"/>
    <w:uiPriority w:val="99"/>
    <w:semiHidden/>
    <w:unhideWhenUsed/>
    <w:rsid w:val="006C60F7"/>
    <w:rPr>
      <w:color w:val="954F72" w:themeColor="followedHyperlink"/>
      <w:u w:val="single"/>
    </w:rPr>
  </w:style>
  <w:style w:type="paragraph" w:styleId="Koptekst">
    <w:name w:val="header"/>
    <w:basedOn w:val="Standaard"/>
    <w:link w:val="KoptekstChar"/>
    <w:uiPriority w:val="99"/>
    <w:unhideWhenUsed/>
    <w:rsid w:val="00116C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16CFC"/>
  </w:style>
  <w:style w:type="paragraph" w:styleId="Voettekst">
    <w:name w:val="footer"/>
    <w:basedOn w:val="Standaard"/>
    <w:link w:val="VoettekstChar"/>
    <w:uiPriority w:val="99"/>
    <w:unhideWhenUsed/>
    <w:rsid w:val="00116C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16CFC"/>
  </w:style>
  <w:style w:type="paragraph" w:styleId="Lijstalinea">
    <w:name w:val="List Paragraph"/>
    <w:basedOn w:val="Standaard"/>
    <w:uiPriority w:val="34"/>
    <w:qFormat/>
    <w:rsid w:val="00096DD2"/>
    <w:pPr>
      <w:ind w:left="720"/>
      <w:contextualSpacing/>
    </w:pPr>
  </w:style>
  <w:style w:type="paragraph" w:styleId="Duidelijkcitaat">
    <w:name w:val="Intense Quote"/>
    <w:basedOn w:val="Standaard"/>
    <w:next w:val="Standaard"/>
    <w:link w:val="DuidelijkcitaatChar"/>
    <w:uiPriority w:val="30"/>
    <w:qFormat/>
    <w:rsid w:val="00C948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94803"/>
    <w:rPr>
      <w:i/>
      <w:iCs/>
      <w:color w:val="4472C4" w:themeColor="accent1"/>
    </w:rPr>
  </w:style>
  <w:style w:type="paragraph" w:styleId="Normaalweb">
    <w:name w:val="Normal (Web)"/>
    <w:basedOn w:val="Standaard"/>
    <w:uiPriority w:val="99"/>
    <w:semiHidden/>
    <w:unhideWhenUsed/>
    <w:rsid w:val="00FF73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F733B"/>
    <w:rPr>
      <w:i/>
      <w:iCs/>
    </w:rPr>
  </w:style>
  <w:style w:type="character" w:customStyle="1" w:styleId="Kop4Char">
    <w:name w:val="Kop 4 Char"/>
    <w:basedOn w:val="Standaardalinea-lettertype"/>
    <w:link w:val="Kop4"/>
    <w:uiPriority w:val="9"/>
    <w:rsid w:val="00FF733B"/>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FF7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963">
      <w:bodyDiv w:val="1"/>
      <w:marLeft w:val="0"/>
      <w:marRight w:val="0"/>
      <w:marTop w:val="0"/>
      <w:marBottom w:val="0"/>
      <w:divBdr>
        <w:top w:val="none" w:sz="0" w:space="0" w:color="auto"/>
        <w:left w:val="none" w:sz="0" w:space="0" w:color="auto"/>
        <w:bottom w:val="none" w:sz="0" w:space="0" w:color="auto"/>
        <w:right w:val="none" w:sz="0" w:space="0" w:color="auto"/>
      </w:divBdr>
    </w:div>
    <w:div w:id="836186957">
      <w:bodyDiv w:val="1"/>
      <w:marLeft w:val="0"/>
      <w:marRight w:val="0"/>
      <w:marTop w:val="0"/>
      <w:marBottom w:val="0"/>
      <w:divBdr>
        <w:top w:val="none" w:sz="0" w:space="0" w:color="auto"/>
        <w:left w:val="none" w:sz="0" w:space="0" w:color="auto"/>
        <w:bottom w:val="none" w:sz="0" w:space="0" w:color="auto"/>
        <w:right w:val="none" w:sz="0" w:space="0" w:color="auto"/>
      </w:divBdr>
    </w:div>
    <w:div w:id="1438676474">
      <w:bodyDiv w:val="1"/>
      <w:marLeft w:val="0"/>
      <w:marRight w:val="0"/>
      <w:marTop w:val="0"/>
      <w:marBottom w:val="0"/>
      <w:divBdr>
        <w:top w:val="none" w:sz="0" w:space="0" w:color="auto"/>
        <w:left w:val="none" w:sz="0" w:space="0" w:color="auto"/>
        <w:bottom w:val="none" w:sz="0" w:space="0" w:color="auto"/>
        <w:right w:val="none" w:sz="0" w:space="0" w:color="auto"/>
      </w:divBdr>
    </w:div>
    <w:div w:id="15695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ziv.fgov.be/nl/professionals/andere-professionals/fabrikant-implant/Paginas/fabrikanten-verdelers-medische-mobiele-toepassingen-aanmelden.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healthbelgium.be/nl/validatiepiramide" TargetMode="External"/><Relationship Id="rId12" Type="http://schemas.openxmlformats.org/officeDocument/2006/relationships/hyperlink" Target="mailto:s.vandeput@bemedtech.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medtech.be/nl/actueel/persberichten/gezondheidseconomisch-redeneren-is-nog-geen-reflex-in-belgi/" TargetMode="External"/><Relationship Id="rId4" Type="http://schemas.openxmlformats.org/officeDocument/2006/relationships/webSettings" Target="webSettings.xml"/><Relationship Id="rId9" Type="http://schemas.openxmlformats.org/officeDocument/2006/relationships/hyperlink" Target="https://bemedtech.be/nl/onze-expertise/the-digital-medte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Tijs Ruysschaert</dc:creator>
  <cp:keywords/>
  <dc:description/>
  <cp:lastModifiedBy>Steven Vandeput</cp:lastModifiedBy>
  <cp:revision>5</cp:revision>
  <dcterms:created xsi:type="dcterms:W3CDTF">2023-09-11T19:18:00Z</dcterms:created>
  <dcterms:modified xsi:type="dcterms:W3CDTF">2023-09-11T19:43:00Z</dcterms:modified>
</cp:coreProperties>
</file>