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208" w:type="dxa"/>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5104"/>
        <w:gridCol w:w="5104"/>
      </w:tblGrid>
      <w:tr w:rsidR="00740DC3" w:rsidRPr="00DF4489" w14:paraId="7D564D82" w14:textId="77777777" w:rsidTr="005F50EE">
        <w:tc>
          <w:tcPr>
            <w:tcW w:w="5104" w:type="dxa"/>
          </w:tcPr>
          <w:p w14:paraId="01BB6D42" w14:textId="047C62A1" w:rsidR="00740DC3" w:rsidRPr="00310C4C" w:rsidRDefault="00310C4C" w:rsidP="00740DC3">
            <w:pPr>
              <w:spacing w:after="0" w:line="240" w:lineRule="auto"/>
              <w:jc w:val="center"/>
              <w:rPr>
                <w:rFonts w:ascii="Arial" w:hAnsi="Arial" w:cs="Arial"/>
                <w:b/>
                <w:caps/>
                <w:lang w:val="fr-FR"/>
              </w:rPr>
            </w:pPr>
            <w:r w:rsidRPr="00310C4C">
              <w:rPr>
                <w:rFonts w:ascii="Arial" w:hAnsi="Arial" w:cs="Arial"/>
                <w:b/>
                <w:caps/>
                <w:lang w:val="fr-FR"/>
              </w:rPr>
              <w:t>AVANT-PROJET DE LOI-C</w:t>
            </w:r>
            <w:r>
              <w:rPr>
                <w:rFonts w:ascii="Arial" w:hAnsi="Arial" w:cs="Arial"/>
                <w:b/>
                <w:caps/>
                <w:lang w:val="fr-FR"/>
              </w:rPr>
              <w:t>ADRE</w:t>
            </w:r>
          </w:p>
        </w:tc>
        <w:tc>
          <w:tcPr>
            <w:tcW w:w="5104" w:type="dxa"/>
          </w:tcPr>
          <w:p w14:paraId="3002FDC0" w14:textId="3954B635" w:rsidR="00740DC3" w:rsidRPr="00DF4489" w:rsidRDefault="00310C4C" w:rsidP="00740DC3">
            <w:pPr>
              <w:spacing w:after="0" w:line="240" w:lineRule="auto"/>
              <w:jc w:val="center"/>
              <w:rPr>
                <w:rFonts w:ascii="Arial" w:hAnsi="Arial" w:cs="Arial"/>
                <w:b/>
                <w:caps/>
                <w:lang w:val="fr-BE"/>
              </w:rPr>
            </w:pPr>
            <w:r>
              <w:rPr>
                <w:rFonts w:ascii="Arial" w:hAnsi="Arial" w:cs="Arial"/>
                <w:b/>
                <w:caps/>
                <w:lang w:val="nl-NL"/>
              </w:rPr>
              <w:t>VOORONTWERP VAN KADERWET</w:t>
            </w:r>
          </w:p>
        </w:tc>
      </w:tr>
      <w:tr w:rsidR="008426F1" w:rsidRPr="00DF4489" w14:paraId="475DAD2D" w14:textId="77777777" w:rsidTr="005F50EE">
        <w:tc>
          <w:tcPr>
            <w:tcW w:w="5104" w:type="dxa"/>
          </w:tcPr>
          <w:p w14:paraId="42DAEF2C" w14:textId="77777777" w:rsidR="008426F1" w:rsidRPr="00310C4C" w:rsidRDefault="008426F1" w:rsidP="00740DC3">
            <w:pPr>
              <w:spacing w:after="0" w:line="240" w:lineRule="auto"/>
              <w:jc w:val="center"/>
              <w:rPr>
                <w:rFonts w:ascii="Arial" w:hAnsi="Arial" w:cs="Arial"/>
                <w:b/>
                <w:caps/>
                <w:lang w:val="fr-FR"/>
              </w:rPr>
            </w:pPr>
          </w:p>
        </w:tc>
        <w:tc>
          <w:tcPr>
            <w:tcW w:w="5104" w:type="dxa"/>
          </w:tcPr>
          <w:p w14:paraId="6416523C" w14:textId="77777777" w:rsidR="008426F1" w:rsidRDefault="008426F1" w:rsidP="00740DC3">
            <w:pPr>
              <w:spacing w:after="0" w:line="240" w:lineRule="auto"/>
              <w:jc w:val="center"/>
              <w:rPr>
                <w:rFonts w:ascii="Arial" w:hAnsi="Arial" w:cs="Arial"/>
                <w:b/>
                <w:caps/>
                <w:lang w:val="nl-NL"/>
              </w:rPr>
            </w:pPr>
          </w:p>
        </w:tc>
      </w:tr>
      <w:tr w:rsidR="008426F1" w:rsidRPr="00DF4489" w14:paraId="1D07B87B" w14:textId="77777777" w:rsidTr="005F50EE">
        <w:tc>
          <w:tcPr>
            <w:tcW w:w="5104" w:type="dxa"/>
          </w:tcPr>
          <w:p w14:paraId="5CBCE51C" w14:textId="7ACB8F6C" w:rsidR="008426F1" w:rsidRPr="00310C4C" w:rsidRDefault="008426F1" w:rsidP="00740DC3">
            <w:pPr>
              <w:spacing w:after="0" w:line="240" w:lineRule="auto"/>
              <w:jc w:val="center"/>
              <w:rPr>
                <w:rFonts w:ascii="Arial" w:hAnsi="Arial" w:cs="Arial"/>
                <w:b/>
                <w:caps/>
                <w:lang w:val="fr-FR"/>
              </w:rPr>
            </w:pPr>
            <w:r>
              <w:rPr>
                <w:rFonts w:ascii="Arial" w:hAnsi="Arial" w:cs="Arial"/>
                <w:b/>
                <w:caps/>
                <w:lang w:val="fr-FR"/>
              </w:rPr>
              <w:t>EXPOSE DES MOTIFS</w:t>
            </w:r>
          </w:p>
        </w:tc>
        <w:tc>
          <w:tcPr>
            <w:tcW w:w="5104" w:type="dxa"/>
          </w:tcPr>
          <w:p w14:paraId="55AE5BE1" w14:textId="565369C9" w:rsidR="008426F1" w:rsidRDefault="008426F1" w:rsidP="00740DC3">
            <w:pPr>
              <w:spacing w:after="0" w:line="240" w:lineRule="auto"/>
              <w:jc w:val="center"/>
              <w:rPr>
                <w:rFonts w:ascii="Arial" w:hAnsi="Arial" w:cs="Arial"/>
                <w:b/>
                <w:caps/>
                <w:lang w:val="nl-NL"/>
              </w:rPr>
            </w:pPr>
            <w:r>
              <w:rPr>
                <w:rFonts w:ascii="Arial" w:hAnsi="Arial" w:cs="Arial"/>
                <w:b/>
                <w:caps/>
                <w:lang w:val="nl-NL"/>
              </w:rPr>
              <w:t>MEMORIE VAN TOELICHTING</w:t>
            </w:r>
          </w:p>
        </w:tc>
      </w:tr>
      <w:tr w:rsidR="00310C4C" w:rsidRPr="00DF4489" w14:paraId="3486A40E" w14:textId="77777777" w:rsidTr="005F50EE">
        <w:tc>
          <w:tcPr>
            <w:tcW w:w="5104" w:type="dxa"/>
          </w:tcPr>
          <w:p w14:paraId="1DE242B8" w14:textId="77777777" w:rsidR="00310C4C" w:rsidRPr="00DF4489" w:rsidRDefault="00310C4C" w:rsidP="00740DC3">
            <w:pPr>
              <w:spacing w:after="0" w:line="240" w:lineRule="auto"/>
              <w:jc w:val="center"/>
              <w:rPr>
                <w:rFonts w:ascii="Arial" w:hAnsi="Arial" w:cs="Arial"/>
                <w:b/>
                <w:caps/>
                <w:lang w:val="nl-NL"/>
              </w:rPr>
            </w:pPr>
          </w:p>
        </w:tc>
        <w:tc>
          <w:tcPr>
            <w:tcW w:w="5104" w:type="dxa"/>
          </w:tcPr>
          <w:p w14:paraId="0C264DE3" w14:textId="77777777" w:rsidR="00310C4C" w:rsidRPr="00DF4489" w:rsidRDefault="00310C4C" w:rsidP="00740DC3">
            <w:pPr>
              <w:spacing w:after="0" w:line="240" w:lineRule="auto"/>
              <w:jc w:val="center"/>
              <w:rPr>
                <w:rFonts w:ascii="Arial" w:hAnsi="Arial" w:cs="Arial"/>
                <w:b/>
                <w:caps/>
                <w:lang w:val="nl-NL"/>
              </w:rPr>
            </w:pPr>
          </w:p>
        </w:tc>
      </w:tr>
      <w:tr w:rsidR="00740DC3" w:rsidRPr="00A827F1" w14:paraId="302232F4" w14:textId="77777777" w:rsidTr="005F50EE">
        <w:tc>
          <w:tcPr>
            <w:tcW w:w="5104" w:type="dxa"/>
          </w:tcPr>
          <w:p w14:paraId="71089F34" w14:textId="5C5C7F3E" w:rsidR="00740DC3" w:rsidRPr="00DF4489" w:rsidRDefault="00740DC3" w:rsidP="00740DC3">
            <w:pPr>
              <w:pStyle w:val="Kop1"/>
              <w:spacing w:before="0" w:line="240" w:lineRule="auto"/>
              <w:jc w:val="center"/>
              <w:rPr>
                <w:rFonts w:ascii="Arial" w:eastAsia="Times New Roman" w:hAnsi="Arial" w:cs="Arial"/>
                <w:bCs w:val="0"/>
                <w:color w:val="auto"/>
                <w:sz w:val="22"/>
                <w:szCs w:val="22"/>
                <w:lang w:val="fr-BE"/>
              </w:rPr>
            </w:pPr>
            <w:r w:rsidRPr="00DF4489">
              <w:rPr>
                <w:rFonts w:ascii="Arial" w:eastAsia="Times New Roman" w:hAnsi="Arial" w:cs="Arial"/>
                <w:bCs w:val="0"/>
                <w:color w:val="auto"/>
                <w:sz w:val="22"/>
                <w:szCs w:val="22"/>
                <w:lang w:val="fr-BE"/>
              </w:rPr>
              <w:t xml:space="preserve">Chapitre </w:t>
            </w:r>
            <w:r w:rsidR="005B57CB" w:rsidRPr="00DF4489">
              <w:rPr>
                <w:rFonts w:ascii="Arial" w:eastAsia="Times New Roman" w:hAnsi="Arial" w:cs="Arial"/>
                <w:bCs w:val="0"/>
                <w:color w:val="auto"/>
                <w:sz w:val="22"/>
                <w:szCs w:val="22"/>
                <w:lang w:val="fr-BE"/>
              </w:rPr>
              <w:t>1</w:t>
            </w:r>
            <w:r w:rsidR="00DF4489" w:rsidRPr="00DF4489">
              <w:rPr>
                <w:rFonts w:ascii="Arial" w:eastAsia="Times New Roman" w:hAnsi="Arial" w:cs="Arial"/>
                <w:bCs w:val="0"/>
                <w:color w:val="auto"/>
                <w:sz w:val="22"/>
                <w:szCs w:val="22"/>
                <w:vertAlign w:val="superscript"/>
                <w:lang w:val="fr-BE"/>
              </w:rPr>
              <w:t>er</w:t>
            </w:r>
            <w:r w:rsidR="00DF4489" w:rsidRPr="00DF4489">
              <w:rPr>
                <w:rFonts w:ascii="Arial" w:eastAsia="Times New Roman" w:hAnsi="Arial" w:cs="Arial"/>
                <w:bCs w:val="0"/>
                <w:color w:val="auto"/>
                <w:sz w:val="22"/>
                <w:szCs w:val="22"/>
                <w:lang w:val="fr-BE"/>
              </w:rPr>
              <w:t xml:space="preserve"> </w:t>
            </w:r>
            <w:r w:rsidRPr="00DF4489">
              <w:rPr>
                <w:rFonts w:ascii="Arial" w:eastAsia="Times New Roman" w:hAnsi="Arial" w:cs="Arial"/>
                <w:bCs w:val="0"/>
                <w:color w:val="auto"/>
                <w:sz w:val="22"/>
                <w:szCs w:val="22"/>
                <w:lang w:val="fr-BE"/>
              </w:rPr>
              <w:t>- Modifications à la loi relative à l'assurance obligatoire soins de santé et indemnités, coordonnée le 14 juillet 1994</w:t>
            </w:r>
          </w:p>
          <w:p w14:paraId="3D410C87" w14:textId="77777777" w:rsidR="00740DC3" w:rsidRPr="00DF4489" w:rsidRDefault="00740DC3" w:rsidP="00740DC3">
            <w:pPr>
              <w:pStyle w:val="Kop1"/>
              <w:spacing w:before="0" w:line="240" w:lineRule="auto"/>
              <w:jc w:val="center"/>
              <w:rPr>
                <w:rFonts w:ascii="Arial" w:eastAsia="Times New Roman" w:hAnsi="Arial" w:cs="Arial"/>
                <w:bCs w:val="0"/>
                <w:color w:val="auto"/>
                <w:sz w:val="22"/>
                <w:szCs w:val="22"/>
                <w:lang w:val="fr-BE"/>
              </w:rPr>
            </w:pPr>
          </w:p>
        </w:tc>
        <w:tc>
          <w:tcPr>
            <w:tcW w:w="5104" w:type="dxa"/>
          </w:tcPr>
          <w:p w14:paraId="603CDE5F" w14:textId="0A246B77" w:rsidR="00740DC3" w:rsidRPr="00DF4489" w:rsidRDefault="00740DC3" w:rsidP="00740DC3">
            <w:pPr>
              <w:pStyle w:val="Kop1"/>
              <w:spacing w:before="0" w:line="240" w:lineRule="auto"/>
              <w:jc w:val="center"/>
              <w:rPr>
                <w:rFonts w:ascii="Arial" w:eastAsia="Times New Roman" w:hAnsi="Arial" w:cs="Arial"/>
                <w:bCs w:val="0"/>
                <w:color w:val="auto"/>
                <w:sz w:val="22"/>
                <w:szCs w:val="22"/>
                <w:lang w:val="nl-NL"/>
              </w:rPr>
            </w:pPr>
            <w:r w:rsidRPr="00DF4489">
              <w:rPr>
                <w:rFonts w:ascii="Arial" w:eastAsia="Times New Roman" w:hAnsi="Arial" w:cs="Arial"/>
                <w:bCs w:val="0"/>
                <w:color w:val="auto"/>
                <w:sz w:val="22"/>
                <w:szCs w:val="22"/>
                <w:lang w:val="nl-NL"/>
              </w:rPr>
              <w:t xml:space="preserve">Hoofdstuk </w:t>
            </w:r>
            <w:r w:rsidR="005B57CB" w:rsidRPr="00DF4489">
              <w:rPr>
                <w:rFonts w:ascii="Arial" w:eastAsia="Times New Roman" w:hAnsi="Arial" w:cs="Arial"/>
                <w:bCs w:val="0"/>
                <w:color w:val="auto"/>
                <w:sz w:val="22"/>
                <w:szCs w:val="22"/>
                <w:lang w:val="nl-NL"/>
              </w:rPr>
              <w:t>1</w:t>
            </w:r>
            <w:r w:rsidRPr="00DF4489">
              <w:rPr>
                <w:rFonts w:ascii="Arial" w:eastAsia="Times New Roman" w:hAnsi="Arial" w:cs="Arial"/>
                <w:bCs w:val="0"/>
                <w:color w:val="auto"/>
                <w:sz w:val="22"/>
                <w:szCs w:val="22"/>
                <w:lang w:val="nl-NL"/>
              </w:rPr>
              <w:t xml:space="preserve"> - Wijzigingen van de wet betreffende de verplichte verzekering voor geneeskundige verzorging en uitkeringen gecoördineerd op 14 juli 1994</w:t>
            </w:r>
          </w:p>
        </w:tc>
      </w:tr>
      <w:tr w:rsidR="00740DC3" w:rsidRPr="00A827F1" w14:paraId="293FDA6C" w14:textId="77777777" w:rsidTr="005F50EE">
        <w:tc>
          <w:tcPr>
            <w:tcW w:w="5104" w:type="dxa"/>
          </w:tcPr>
          <w:p w14:paraId="722D535B" w14:textId="77777777" w:rsidR="00740DC3" w:rsidRPr="00DF4489" w:rsidRDefault="00740DC3" w:rsidP="00740DC3">
            <w:pPr>
              <w:spacing w:after="0" w:line="240" w:lineRule="auto"/>
              <w:jc w:val="both"/>
              <w:outlineLvl w:val="0"/>
              <w:rPr>
                <w:rFonts w:ascii="Arial" w:eastAsia="Times New Roman" w:hAnsi="Arial" w:cs="Arial"/>
                <w:lang w:val="nl-NL"/>
              </w:rPr>
            </w:pPr>
          </w:p>
        </w:tc>
        <w:tc>
          <w:tcPr>
            <w:tcW w:w="5104" w:type="dxa"/>
          </w:tcPr>
          <w:p w14:paraId="2B097BD4" w14:textId="038A7814" w:rsidR="00740DC3" w:rsidRPr="00DF4489" w:rsidRDefault="00740DC3" w:rsidP="00740DC3">
            <w:pPr>
              <w:spacing w:after="0" w:line="240" w:lineRule="auto"/>
              <w:jc w:val="both"/>
              <w:outlineLvl w:val="0"/>
              <w:rPr>
                <w:rFonts w:ascii="Arial" w:eastAsia="Times New Roman" w:hAnsi="Arial" w:cs="Arial"/>
                <w:lang w:val="nl-NL"/>
              </w:rPr>
            </w:pPr>
          </w:p>
        </w:tc>
      </w:tr>
      <w:tr w:rsidR="004722CA" w:rsidRPr="00A827F1" w14:paraId="48AF6308" w14:textId="77777777" w:rsidTr="005F50EE">
        <w:tc>
          <w:tcPr>
            <w:tcW w:w="5104" w:type="dxa"/>
          </w:tcPr>
          <w:p w14:paraId="65F9F5CA" w14:textId="77777777" w:rsidR="004722CA" w:rsidRPr="00DF4489" w:rsidRDefault="004722CA" w:rsidP="00740DC3">
            <w:pPr>
              <w:spacing w:after="0" w:line="240" w:lineRule="auto"/>
              <w:jc w:val="both"/>
              <w:outlineLvl w:val="0"/>
              <w:rPr>
                <w:rFonts w:ascii="Arial" w:eastAsia="Times New Roman" w:hAnsi="Arial" w:cs="Arial"/>
                <w:lang w:val="nl-NL"/>
              </w:rPr>
            </w:pPr>
          </w:p>
        </w:tc>
        <w:tc>
          <w:tcPr>
            <w:tcW w:w="5104" w:type="dxa"/>
          </w:tcPr>
          <w:p w14:paraId="41572EE8" w14:textId="77777777" w:rsidR="004722CA" w:rsidRPr="00DF4489" w:rsidRDefault="004722CA" w:rsidP="00740DC3">
            <w:pPr>
              <w:spacing w:after="0" w:line="240" w:lineRule="auto"/>
              <w:jc w:val="both"/>
              <w:outlineLvl w:val="0"/>
              <w:rPr>
                <w:rFonts w:ascii="Arial" w:eastAsia="Times New Roman" w:hAnsi="Arial" w:cs="Arial"/>
                <w:lang w:val="nl-NL"/>
              </w:rPr>
            </w:pPr>
          </w:p>
        </w:tc>
      </w:tr>
      <w:tr w:rsidR="004722CA" w:rsidRPr="0016610C" w14:paraId="1F5B924F" w14:textId="77777777" w:rsidTr="005F50EE">
        <w:tc>
          <w:tcPr>
            <w:tcW w:w="5104" w:type="dxa"/>
          </w:tcPr>
          <w:p w14:paraId="57EFB842" w14:textId="35731917" w:rsidR="004722CA" w:rsidRPr="00DF4489" w:rsidRDefault="004722CA" w:rsidP="009A3C5E">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w:t>
            </w:r>
            <w:r w:rsidRPr="00DF4489">
              <w:rPr>
                <w:rFonts w:ascii="Arial" w:eastAsia="Times New Roman" w:hAnsi="Arial" w:cs="Arial"/>
                <w:b/>
                <w:i/>
                <w:lang w:val="fr-FR"/>
              </w:rPr>
              <w:t xml:space="preserve"> – </w:t>
            </w:r>
            <w:r w:rsidR="00750FE8">
              <w:rPr>
                <w:rFonts w:ascii="Arial" w:eastAsia="Times New Roman" w:hAnsi="Arial" w:cs="Arial"/>
                <w:b/>
                <w:i/>
                <w:lang w:val="fr-FR"/>
              </w:rPr>
              <w:t>Processus budgétaire</w:t>
            </w:r>
          </w:p>
        </w:tc>
        <w:tc>
          <w:tcPr>
            <w:tcW w:w="5104" w:type="dxa"/>
          </w:tcPr>
          <w:p w14:paraId="227C8DE0" w14:textId="67227D46" w:rsidR="004722CA" w:rsidRPr="0016610C" w:rsidRDefault="004722CA" w:rsidP="009A3C5E">
            <w:pPr>
              <w:spacing w:after="0" w:line="240" w:lineRule="auto"/>
              <w:jc w:val="center"/>
              <w:outlineLvl w:val="0"/>
              <w:rPr>
                <w:rFonts w:ascii="Arial" w:eastAsia="Times New Roman" w:hAnsi="Arial" w:cs="Arial"/>
                <w:i/>
                <w:lang w:val="nl-NL"/>
              </w:rPr>
            </w:pPr>
            <w:commentRangeStart w:id="0"/>
            <w:r w:rsidRPr="00DF4489">
              <w:rPr>
                <w:rFonts w:ascii="Arial" w:eastAsia="Times New Roman" w:hAnsi="Arial" w:cs="Arial"/>
                <w:b/>
                <w:i/>
                <w:lang w:val="nl-BE"/>
              </w:rPr>
              <w:t xml:space="preserve">Afdeling </w:t>
            </w:r>
            <w:r>
              <w:rPr>
                <w:rFonts w:ascii="Arial" w:eastAsia="Times New Roman" w:hAnsi="Arial" w:cs="Arial"/>
                <w:b/>
                <w:i/>
                <w:lang w:val="nl-BE"/>
              </w:rPr>
              <w:t>X</w:t>
            </w:r>
            <w:r w:rsidRPr="00DF4489">
              <w:rPr>
                <w:rFonts w:ascii="Arial" w:eastAsia="Times New Roman" w:hAnsi="Arial" w:cs="Arial"/>
                <w:b/>
                <w:i/>
                <w:lang w:val="nl-BE"/>
              </w:rPr>
              <w:t xml:space="preserve"> - </w:t>
            </w:r>
            <w:r w:rsidR="00750FE8">
              <w:rPr>
                <w:rFonts w:ascii="Arial" w:eastAsia="Times New Roman" w:hAnsi="Arial" w:cs="Arial"/>
                <w:b/>
                <w:i/>
                <w:lang w:val="nl-BE"/>
              </w:rPr>
              <w:t>Begrotingsproces</w:t>
            </w:r>
            <w:commentRangeEnd w:id="0"/>
            <w:r>
              <w:rPr>
                <w:rStyle w:val="Verwijzingopmerking"/>
              </w:rPr>
              <w:commentReference w:id="0"/>
            </w:r>
          </w:p>
        </w:tc>
      </w:tr>
      <w:tr w:rsidR="004722CA" w:rsidRPr="0016610C" w14:paraId="64588836" w14:textId="77777777" w:rsidTr="005F50EE">
        <w:tc>
          <w:tcPr>
            <w:tcW w:w="5104" w:type="dxa"/>
          </w:tcPr>
          <w:p w14:paraId="1708A290" w14:textId="77777777" w:rsidR="004722CA" w:rsidRPr="0016610C" w:rsidRDefault="004722CA" w:rsidP="009A3C5E">
            <w:pPr>
              <w:spacing w:after="0" w:line="240" w:lineRule="auto"/>
              <w:jc w:val="both"/>
              <w:outlineLvl w:val="0"/>
              <w:rPr>
                <w:rFonts w:ascii="Arial" w:eastAsia="Times New Roman" w:hAnsi="Arial" w:cs="Arial"/>
                <w:lang w:val="nl-NL"/>
              </w:rPr>
            </w:pPr>
          </w:p>
        </w:tc>
        <w:tc>
          <w:tcPr>
            <w:tcW w:w="5104" w:type="dxa"/>
          </w:tcPr>
          <w:p w14:paraId="41513B30" w14:textId="36311F6A" w:rsidR="004722CA" w:rsidRPr="00C45BA8" w:rsidRDefault="004722CA" w:rsidP="009A3C5E">
            <w:pPr>
              <w:spacing w:after="0" w:line="240" w:lineRule="auto"/>
              <w:jc w:val="center"/>
              <w:outlineLvl w:val="0"/>
              <w:rPr>
                <w:rFonts w:ascii="Arial" w:eastAsia="Times New Roman" w:hAnsi="Arial" w:cs="Arial"/>
                <w:i/>
                <w:iCs/>
                <w:lang w:val="nl-NL"/>
              </w:rPr>
            </w:pPr>
          </w:p>
        </w:tc>
      </w:tr>
      <w:tr w:rsidR="004722CA" w:rsidRPr="00A827F1" w14:paraId="6D665CB3" w14:textId="77777777" w:rsidTr="005F50EE">
        <w:tc>
          <w:tcPr>
            <w:tcW w:w="5104" w:type="dxa"/>
          </w:tcPr>
          <w:p w14:paraId="336E6F69" w14:textId="65DC6A35" w:rsidR="004722CA" w:rsidRPr="00BE7B53" w:rsidRDefault="00BE7B53" w:rsidP="00BE7B53">
            <w:pPr>
              <w:spacing w:after="0" w:line="240" w:lineRule="auto"/>
              <w:jc w:val="both"/>
              <w:outlineLvl w:val="0"/>
              <w:rPr>
                <w:rFonts w:ascii="Arial" w:eastAsia="Times New Roman" w:hAnsi="Arial" w:cs="Arial"/>
                <w:bCs/>
                <w:lang w:val="fr-FR"/>
              </w:rPr>
            </w:pPr>
            <w:r w:rsidRPr="00BE7B53">
              <w:rPr>
                <w:rFonts w:ascii="Arial" w:eastAsia="Times New Roman" w:hAnsi="Arial" w:cs="Arial"/>
                <w:bCs/>
                <w:lang w:val="fr-FR"/>
              </w:rPr>
              <w:t>Le processus relatif à l’élaboration du budget des soins de santé dans la loi relative à l’assurance obligatoire soins de santé et indemnités coordonnée le 14 juillet 1994 (ci-après Loi SSI) est modifié.</w:t>
            </w:r>
          </w:p>
        </w:tc>
        <w:tc>
          <w:tcPr>
            <w:tcW w:w="5104" w:type="dxa"/>
          </w:tcPr>
          <w:p w14:paraId="2EB4E949" w14:textId="77777777" w:rsidR="004722CA" w:rsidRPr="0016610C" w:rsidRDefault="004722CA" w:rsidP="009A3C5E">
            <w:pPr>
              <w:spacing w:after="0" w:line="240" w:lineRule="auto"/>
              <w:jc w:val="both"/>
              <w:outlineLvl w:val="0"/>
              <w:rPr>
                <w:rFonts w:ascii="Arial" w:eastAsia="Times New Roman" w:hAnsi="Arial" w:cs="Arial"/>
                <w:lang w:val="nl-NL"/>
              </w:rPr>
            </w:pPr>
            <w:bookmarkStart w:id="1" w:name="_Hlk193967599"/>
            <w:r w:rsidRPr="0016610C">
              <w:rPr>
                <w:rFonts w:ascii="Arial" w:eastAsia="Times New Roman" w:hAnsi="Arial" w:cs="Arial"/>
                <w:lang w:val="nl-NL"/>
              </w:rPr>
              <w:t xml:space="preserve">Het proces betreffende de opmaak van de gezondheidszorgbegroting in de wet betreffende de verplichte verzekering voor geneeskundige verzorging en uitkeringen gecoördineerd op 14 juli 1994 (hierna GVU-wet) wordt gewijzigd.  </w:t>
            </w:r>
            <w:bookmarkEnd w:id="1"/>
          </w:p>
        </w:tc>
      </w:tr>
      <w:tr w:rsidR="004722CA" w:rsidRPr="00A827F1" w14:paraId="63CA25C7" w14:textId="77777777" w:rsidTr="005F50EE">
        <w:tc>
          <w:tcPr>
            <w:tcW w:w="5104" w:type="dxa"/>
          </w:tcPr>
          <w:p w14:paraId="0AFF2E4D" w14:textId="77777777" w:rsidR="004722CA" w:rsidRPr="00BE7B53" w:rsidRDefault="004722CA" w:rsidP="009A3C5E">
            <w:pPr>
              <w:spacing w:after="0" w:line="240" w:lineRule="auto"/>
              <w:jc w:val="both"/>
              <w:outlineLvl w:val="0"/>
              <w:rPr>
                <w:rFonts w:ascii="Arial" w:eastAsia="Times New Roman" w:hAnsi="Arial" w:cs="Arial"/>
                <w:bCs/>
                <w:lang w:val="nl-NL"/>
              </w:rPr>
            </w:pPr>
          </w:p>
        </w:tc>
        <w:tc>
          <w:tcPr>
            <w:tcW w:w="5104" w:type="dxa"/>
          </w:tcPr>
          <w:p w14:paraId="7A9FE968" w14:textId="77777777" w:rsidR="004722CA" w:rsidRPr="0016610C" w:rsidRDefault="004722CA" w:rsidP="009A3C5E">
            <w:pPr>
              <w:spacing w:after="0" w:line="240" w:lineRule="auto"/>
              <w:jc w:val="both"/>
              <w:outlineLvl w:val="0"/>
              <w:rPr>
                <w:rFonts w:ascii="Arial" w:eastAsia="Times New Roman" w:hAnsi="Arial" w:cs="Arial"/>
                <w:lang w:val="nl-NL"/>
              </w:rPr>
            </w:pPr>
          </w:p>
        </w:tc>
      </w:tr>
      <w:tr w:rsidR="004722CA" w:rsidRPr="00A827F1" w14:paraId="0F8C9924" w14:textId="77777777" w:rsidTr="005F50EE">
        <w:tc>
          <w:tcPr>
            <w:tcW w:w="5104" w:type="dxa"/>
          </w:tcPr>
          <w:p w14:paraId="5D182BD1" w14:textId="415F0600" w:rsidR="004722CA" w:rsidRPr="00BE7B53" w:rsidRDefault="00BE7B53" w:rsidP="009A3C5E">
            <w:pPr>
              <w:spacing w:after="0" w:line="240" w:lineRule="auto"/>
              <w:jc w:val="both"/>
              <w:outlineLvl w:val="0"/>
              <w:rPr>
                <w:rFonts w:ascii="Arial" w:eastAsia="Times New Roman" w:hAnsi="Arial" w:cs="Arial"/>
                <w:bCs/>
                <w:lang w:val="fr-FR"/>
              </w:rPr>
            </w:pPr>
            <w:r w:rsidRPr="00BE7B53">
              <w:rPr>
                <w:rFonts w:ascii="Arial" w:eastAsia="Times New Roman" w:hAnsi="Arial" w:cs="Arial"/>
                <w:bCs/>
                <w:lang w:val="fr-FR"/>
              </w:rPr>
              <w:t>Les documents de base dans le cadre de l’élaboration du budget tels que par exemple, les estimations techniques du Service des soins de santé de l’INAMI</w:t>
            </w:r>
            <w:r w:rsidR="00B91A7E">
              <w:rPr>
                <w:rFonts w:ascii="Arial" w:eastAsia="Times New Roman" w:hAnsi="Arial" w:cs="Arial"/>
                <w:bCs/>
                <w:lang w:val="fr-FR"/>
              </w:rPr>
              <w:t xml:space="preserve"> (qui désormais ont été </w:t>
            </w:r>
            <w:r w:rsidR="004B312F">
              <w:rPr>
                <w:rFonts w:ascii="Arial" w:eastAsia="Times New Roman" w:hAnsi="Arial" w:cs="Arial"/>
                <w:bCs/>
                <w:lang w:val="fr-FR"/>
              </w:rPr>
              <w:t xml:space="preserve">discutées </w:t>
            </w:r>
            <w:r w:rsidR="00E80604">
              <w:rPr>
                <w:rFonts w:ascii="Arial" w:eastAsia="Times New Roman" w:hAnsi="Arial" w:cs="Arial"/>
                <w:bCs/>
                <w:lang w:val="fr-FR"/>
              </w:rPr>
              <w:t xml:space="preserve">en </w:t>
            </w:r>
            <w:r w:rsidR="00B91A7E">
              <w:rPr>
                <w:rFonts w:ascii="Arial" w:eastAsia="Times New Roman" w:hAnsi="Arial" w:cs="Arial"/>
                <w:bCs/>
                <w:lang w:val="fr-FR"/>
              </w:rPr>
              <w:t>Conseil des ministres)</w:t>
            </w:r>
            <w:r w:rsidRPr="00BE7B53">
              <w:rPr>
                <w:rFonts w:ascii="Arial" w:eastAsia="Times New Roman" w:hAnsi="Arial" w:cs="Arial"/>
                <w:bCs/>
                <w:lang w:val="fr-FR"/>
              </w:rPr>
              <w:t xml:space="preserve">, les propositions sectorielles des Commissions d’accords concernant les mesures d’économies, l’efficacité des soins et les besoins, et le rapport annuel de la Commission pour les objectifs en matière de soins de santé </w:t>
            </w:r>
            <w:r w:rsidR="00B91A7E">
              <w:rPr>
                <w:rFonts w:ascii="Arial" w:eastAsia="Times New Roman" w:hAnsi="Arial" w:cs="Arial"/>
                <w:bCs/>
                <w:lang w:val="fr-FR"/>
              </w:rPr>
              <w:t xml:space="preserve">doivent </w:t>
            </w:r>
            <w:r w:rsidRPr="00BE7B53">
              <w:rPr>
                <w:rFonts w:ascii="Arial" w:eastAsia="Times New Roman" w:hAnsi="Arial" w:cs="Arial"/>
                <w:bCs/>
                <w:lang w:val="fr-FR"/>
              </w:rPr>
              <w:t>tous être disponibles au plus tard à la fin du mois de juin de l’année précédant l’exercice budgétaire.</w:t>
            </w:r>
          </w:p>
        </w:tc>
        <w:tc>
          <w:tcPr>
            <w:tcW w:w="5104" w:type="dxa"/>
          </w:tcPr>
          <w:p w14:paraId="0355D9AE" w14:textId="4C59B1CD" w:rsidR="004722CA" w:rsidRPr="0016610C" w:rsidRDefault="004722CA"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t>Basisdocumenten in het kader van de begrotingsopmaak zoals bijvoorbeeld de initiële technische ramingen van de Dienst voor geneeskundige verzorging van het RIZIV</w:t>
            </w:r>
            <w:r w:rsidR="00B91A7E">
              <w:rPr>
                <w:rFonts w:ascii="Arial" w:eastAsia="Times New Roman" w:hAnsi="Arial" w:cs="Arial"/>
                <w:lang w:val="nl-NL"/>
              </w:rPr>
              <w:t xml:space="preserve"> </w:t>
            </w:r>
            <w:r w:rsidR="00B91A7E" w:rsidRPr="00B91A7E">
              <w:rPr>
                <w:rFonts w:ascii="Arial" w:eastAsia="Times New Roman" w:hAnsi="Arial" w:cs="Arial"/>
                <w:lang w:val="nl-NL"/>
              </w:rPr>
              <w:t xml:space="preserve">(die voortaan </w:t>
            </w:r>
            <w:r w:rsidR="004B312F">
              <w:rPr>
                <w:rFonts w:ascii="Arial" w:eastAsia="Times New Roman" w:hAnsi="Arial" w:cs="Arial"/>
                <w:lang w:val="nl-NL"/>
              </w:rPr>
              <w:t>besproken</w:t>
            </w:r>
            <w:r w:rsidR="004B312F" w:rsidRPr="00B91A7E">
              <w:rPr>
                <w:rFonts w:ascii="Arial" w:eastAsia="Times New Roman" w:hAnsi="Arial" w:cs="Arial"/>
                <w:lang w:val="nl-NL"/>
              </w:rPr>
              <w:t xml:space="preserve"> </w:t>
            </w:r>
            <w:r w:rsidR="00B91A7E" w:rsidRPr="00B91A7E">
              <w:rPr>
                <w:rFonts w:ascii="Arial" w:eastAsia="Times New Roman" w:hAnsi="Arial" w:cs="Arial"/>
                <w:lang w:val="nl-NL"/>
              </w:rPr>
              <w:t xml:space="preserve">zijn geweest </w:t>
            </w:r>
            <w:r w:rsidR="00E94D80">
              <w:rPr>
                <w:rFonts w:ascii="Arial" w:eastAsia="Times New Roman" w:hAnsi="Arial" w:cs="Arial"/>
                <w:lang w:val="nl-NL"/>
              </w:rPr>
              <w:t>in</w:t>
            </w:r>
            <w:r w:rsidR="00E94D80" w:rsidRPr="00B91A7E">
              <w:rPr>
                <w:rFonts w:ascii="Arial" w:eastAsia="Times New Roman" w:hAnsi="Arial" w:cs="Arial"/>
                <w:lang w:val="nl-NL"/>
              </w:rPr>
              <w:t xml:space="preserve"> </w:t>
            </w:r>
            <w:r w:rsidR="00B91A7E" w:rsidRPr="00B91A7E">
              <w:rPr>
                <w:rFonts w:ascii="Arial" w:eastAsia="Times New Roman" w:hAnsi="Arial" w:cs="Arial"/>
                <w:lang w:val="nl-NL"/>
              </w:rPr>
              <w:t>de Ministerraad)</w:t>
            </w:r>
            <w:r w:rsidRPr="0016610C">
              <w:rPr>
                <w:rFonts w:ascii="Arial" w:eastAsia="Times New Roman" w:hAnsi="Arial" w:cs="Arial"/>
                <w:lang w:val="nl-NL"/>
              </w:rPr>
              <w:t>, de sectorale voorstellen vanuit de akkoordencommissies met betrekking tot besparingsmaatregelen, doelmatige zorg en behoeften, en het jaarlijks rapport van de Commissie voor gezondheidszorgdoelstellingen dienen allemaal beschikbaar te zijn uiterlijk eind juni van het jaar voorafgaand aan het begrotingsjaar</w:t>
            </w:r>
            <w:r w:rsidR="009B41A7">
              <w:rPr>
                <w:rFonts w:ascii="Arial" w:eastAsia="Times New Roman" w:hAnsi="Arial" w:cs="Arial"/>
                <w:lang w:val="nl-NL"/>
              </w:rPr>
              <w:t>.</w:t>
            </w:r>
          </w:p>
        </w:tc>
      </w:tr>
      <w:tr w:rsidR="004722CA" w:rsidRPr="00A827F1" w14:paraId="1F7B1F25" w14:textId="77777777" w:rsidTr="005F50EE">
        <w:tc>
          <w:tcPr>
            <w:tcW w:w="5104" w:type="dxa"/>
          </w:tcPr>
          <w:p w14:paraId="1FDBC502" w14:textId="77777777" w:rsidR="004722CA" w:rsidRPr="00BE7B53" w:rsidRDefault="004722CA" w:rsidP="009A3C5E">
            <w:pPr>
              <w:tabs>
                <w:tab w:val="left" w:pos="4468"/>
                <w:tab w:val="left" w:pos="5643"/>
                <w:tab w:val="left" w:pos="9747"/>
              </w:tabs>
              <w:spacing w:after="0" w:line="240" w:lineRule="auto"/>
              <w:jc w:val="both"/>
              <w:rPr>
                <w:rFonts w:ascii="Arial" w:hAnsi="Arial" w:cs="Arial"/>
                <w:bCs/>
                <w:lang w:val="nl-NL"/>
              </w:rPr>
            </w:pPr>
          </w:p>
        </w:tc>
        <w:tc>
          <w:tcPr>
            <w:tcW w:w="5104" w:type="dxa"/>
          </w:tcPr>
          <w:p w14:paraId="4D21A9C7"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38BBB72F" w14:textId="77777777" w:rsidTr="005F50EE">
        <w:tc>
          <w:tcPr>
            <w:tcW w:w="5104" w:type="dxa"/>
          </w:tcPr>
          <w:p w14:paraId="51669ED7" w14:textId="2806F33F" w:rsidR="004722CA" w:rsidRPr="00BE7B53" w:rsidRDefault="00BE7B53" w:rsidP="00BE7B53">
            <w:pPr>
              <w:spacing w:after="0" w:line="240" w:lineRule="auto"/>
              <w:jc w:val="both"/>
              <w:outlineLvl w:val="0"/>
              <w:rPr>
                <w:rFonts w:ascii="Arial" w:eastAsia="Times New Roman" w:hAnsi="Arial" w:cs="Arial"/>
                <w:bCs/>
                <w:lang w:val="fr-FR"/>
              </w:rPr>
            </w:pPr>
            <w:r w:rsidRPr="00BE7B53">
              <w:rPr>
                <w:rFonts w:ascii="Arial" w:eastAsia="Times New Roman" w:hAnsi="Arial" w:cs="Arial"/>
                <w:bCs/>
                <w:lang w:val="fr-FR"/>
              </w:rPr>
              <w:t>Sur cette base, le Conseil des ministres établi</w:t>
            </w:r>
            <w:r w:rsidR="004B312F">
              <w:rPr>
                <w:rFonts w:ascii="Arial" w:eastAsia="Times New Roman" w:hAnsi="Arial" w:cs="Arial"/>
                <w:bCs/>
                <w:lang w:val="fr-FR"/>
              </w:rPr>
              <w:t>t</w:t>
            </w:r>
            <w:r w:rsidRPr="00BE7B53">
              <w:rPr>
                <w:rFonts w:ascii="Arial" w:eastAsia="Times New Roman" w:hAnsi="Arial" w:cs="Arial"/>
                <w:bCs/>
                <w:lang w:val="fr-FR"/>
              </w:rPr>
              <w:t>, au plus tard le 20 juillet, une lettre de mission qui énonce clairement les priorités politiques pour l’exercice budgétaire prochain, en tenant compte du cadre budgétaire. Il peut être proposé, par exemple, qu’un certain pourcentage de l’objectif budgétaire soit réservé pour les objectifs en matière de soins de santé et qu’un ou plusieurs secteurs (en concertation mutuelle si plusieurs secteurs sont concernés) soient chargés d’allouer des ressources budgétaires à cette fin (afin d’éviter que la norme de croissance prévue par la loi ne serve qu’à absorber les augmentations de volumes et/ou ne soit entièrement répartie entre les secteurs sans tenir compte des objectifs prioritaires en matière de soins de santé).</w:t>
            </w:r>
            <w:r w:rsidR="004B312F" w:rsidRPr="004B312F">
              <w:rPr>
                <w:lang w:val="fr-FR"/>
              </w:rPr>
              <w:t xml:space="preserve"> </w:t>
            </w:r>
            <w:r w:rsidR="004B312F" w:rsidRPr="004B312F">
              <w:rPr>
                <w:rFonts w:ascii="Arial" w:eastAsia="Times New Roman" w:hAnsi="Arial" w:cs="Arial"/>
                <w:bCs/>
                <w:lang w:val="fr-FR"/>
              </w:rPr>
              <w:t>La lettre de mission fournit donc le cadre dans lequel le Comité de l’assurance doit exercer sa mission</w:t>
            </w:r>
            <w:r w:rsidR="004B312F" w:rsidRPr="00162AA1">
              <w:rPr>
                <w:rFonts w:ascii="Arial" w:eastAsia="Times New Roman" w:hAnsi="Arial" w:cs="Arial"/>
                <w:bCs/>
                <w:lang w:val="fr-BE"/>
              </w:rPr>
              <w:t xml:space="preserve"> légale d’établir une première proposition de budget (objectif </w:t>
            </w:r>
            <w:r w:rsidR="004B312F" w:rsidRPr="00162AA1">
              <w:rPr>
                <w:rFonts w:ascii="Arial" w:eastAsia="Times New Roman" w:hAnsi="Arial" w:cs="Arial"/>
                <w:bCs/>
                <w:lang w:val="fr-BE"/>
              </w:rPr>
              <w:lastRenderedPageBreak/>
              <w:t>budgétaire).</w:t>
            </w:r>
            <w:r w:rsidR="0051721B" w:rsidRPr="0051721B">
              <w:rPr>
                <w:lang w:val="fr-FR"/>
              </w:rPr>
              <w:t xml:space="preserve"> </w:t>
            </w:r>
            <w:r w:rsidR="0051721B" w:rsidRPr="0051721B">
              <w:rPr>
                <w:rFonts w:ascii="Arial" w:eastAsia="Times New Roman" w:hAnsi="Arial" w:cs="Arial"/>
                <w:bCs/>
                <w:lang w:val="fr-BE"/>
              </w:rPr>
              <w:t>Le Comité de l’assurance peut, pour autant que le même objectif soit poursuivi et que le cadre général de la lettre de mission soit respecté, exercer pleinement sa mission et proposer des alternatives dans sa proposition budgétaire.</w:t>
            </w:r>
          </w:p>
        </w:tc>
        <w:tc>
          <w:tcPr>
            <w:tcW w:w="5104" w:type="dxa"/>
          </w:tcPr>
          <w:p w14:paraId="68E8741F" w14:textId="17F1F99B" w:rsidR="004722CA" w:rsidRPr="0016610C" w:rsidRDefault="004722CA"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lastRenderedPageBreak/>
              <w:t xml:space="preserve">Op basis daarvan </w:t>
            </w:r>
            <w:r w:rsidR="004B312F">
              <w:rPr>
                <w:rFonts w:ascii="Arial" w:eastAsia="Times New Roman" w:hAnsi="Arial" w:cs="Arial"/>
                <w:lang w:val="nl-NL"/>
              </w:rPr>
              <w:t>maakt</w:t>
            </w:r>
            <w:r w:rsidR="004B312F" w:rsidRPr="0016610C">
              <w:rPr>
                <w:rFonts w:ascii="Arial" w:eastAsia="Times New Roman" w:hAnsi="Arial" w:cs="Arial"/>
                <w:lang w:val="nl-NL"/>
              </w:rPr>
              <w:t xml:space="preserve"> </w:t>
            </w:r>
            <w:r w:rsidRPr="0016610C">
              <w:rPr>
                <w:rFonts w:ascii="Arial" w:eastAsia="Times New Roman" w:hAnsi="Arial" w:cs="Arial"/>
                <w:lang w:val="nl-NL"/>
              </w:rPr>
              <w:t>de Ministerraad uiterlijk 20 juli een opdrachtbrief op waarin duidelijk de beleidsprioriteiten worden vermeld voor het aankomende begrotingsjaar rekening houdende met het budgettaire kader. Zo kan bijvoorbeeld worden voorgesteld dat een bepaald percentage van de begrotingsdoelstelling gereserveerd wordt voor gezondheidszorgdoelstellingen en waarbij aan één of meerdere sectoren (in onderling overleg indien het om meerdere sectoren gaat) een opdracht wordt gegeven om budgettaire middelen daartoe aan te wenden (om zo te vermijden dat de wettelijk voorziene groeinorm louter dient om volumestijgingen op te vangen en/of volledig verdeeld wordt over de sectoren zonder rekening te houden met prioritaire gezondheidszorgdoelstellingen).</w:t>
            </w:r>
            <w:r w:rsidR="004B312F" w:rsidRPr="004B312F">
              <w:rPr>
                <w:lang w:val="nl-NL"/>
              </w:rPr>
              <w:t xml:space="preserve"> </w:t>
            </w:r>
            <w:r w:rsidR="004B312F" w:rsidRPr="004B312F">
              <w:rPr>
                <w:rFonts w:ascii="Arial" w:eastAsia="Times New Roman" w:hAnsi="Arial" w:cs="Arial"/>
                <w:lang w:val="nl-NL"/>
              </w:rPr>
              <w:t xml:space="preserve">De opdrachtbrief biedt aldus het kader waarbinnen het Verzekeringscomité diens wettelijke opdracht tot </w:t>
            </w:r>
            <w:r w:rsidR="004B312F" w:rsidRPr="004B312F">
              <w:rPr>
                <w:rFonts w:ascii="Arial" w:eastAsia="Times New Roman" w:hAnsi="Arial" w:cs="Arial"/>
                <w:lang w:val="nl-NL"/>
              </w:rPr>
              <w:lastRenderedPageBreak/>
              <w:t>het opstellen van een eerste begrotingsvoorstel (begrotingsdoelstelling) dient uit te voeren.</w:t>
            </w:r>
            <w:r w:rsidR="0051721B" w:rsidRPr="0051721B">
              <w:rPr>
                <w:lang w:val="nl-NL"/>
              </w:rPr>
              <w:t xml:space="preserve"> </w:t>
            </w:r>
            <w:r w:rsidR="0051721B" w:rsidRPr="0051721B">
              <w:rPr>
                <w:rFonts w:ascii="Arial" w:eastAsia="Times New Roman" w:hAnsi="Arial" w:cs="Arial"/>
                <w:lang w:val="nl-NL"/>
              </w:rPr>
              <w:t>Het Verzekeringscomité kan voor zover hetzelfde doel wordt nagestreefd én er binnen het algemene kader van de opdrachtbrief gebleven wordt, zijn opdracht ten volle opnemen en in hun begrotingsvoorstel nog alternatieven  voorstellen.</w:t>
            </w:r>
          </w:p>
        </w:tc>
      </w:tr>
      <w:tr w:rsidR="004722CA" w:rsidRPr="00A827F1" w14:paraId="2395B174" w14:textId="77777777" w:rsidTr="005F50EE">
        <w:tc>
          <w:tcPr>
            <w:tcW w:w="5104" w:type="dxa"/>
          </w:tcPr>
          <w:p w14:paraId="146F4B76" w14:textId="77777777" w:rsidR="004722CA" w:rsidRPr="00BE7B53" w:rsidRDefault="004722CA" w:rsidP="009A3C5E">
            <w:pPr>
              <w:tabs>
                <w:tab w:val="left" w:pos="4468"/>
                <w:tab w:val="left" w:pos="5643"/>
                <w:tab w:val="left" w:pos="9747"/>
              </w:tabs>
              <w:spacing w:after="0" w:line="240" w:lineRule="auto"/>
              <w:jc w:val="both"/>
              <w:rPr>
                <w:rFonts w:ascii="Arial" w:hAnsi="Arial" w:cs="Arial"/>
                <w:bCs/>
                <w:lang w:val="nl-NL"/>
              </w:rPr>
            </w:pPr>
          </w:p>
        </w:tc>
        <w:tc>
          <w:tcPr>
            <w:tcW w:w="5104" w:type="dxa"/>
          </w:tcPr>
          <w:p w14:paraId="0CAEA8FD"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78E63F2D" w14:textId="77777777" w:rsidTr="005F50EE">
        <w:tc>
          <w:tcPr>
            <w:tcW w:w="5104" w:type="dxa"/>
          </w:tcPr>
          <w:p w14:paraId="7994F5F9" w14:textId="77777777" w:rsidR="00BE7B53" w:rsidRPr="00BE7B53" w:rsidRDefault="00BE7B53" w:rsidP="00BE7B53">
            <w:pPr>
              <w:tabs>
                <w:tab w:val="left" w:pos="4468"/>
                <w:tab w:val="left" w:pos="5643"/>
                <w:tab w:val="left" w:pos="9747"/>
              </w:tabs>
              <w:spacing w:after="0" w:line="240" w:lineRule="auto"/>
              <w:jc w:val="both"/>
              <w:rPr>
                <w:rFonts w:ascii="Arial" w:hAnsi="Arial" w:cs="Arial"/>
                <w:bCs/>
                <w:lang w:val="fr-FR"/>
              </w:rPr>
            </w:pPr>
            <w:r w:rsidRPr="00BE7B53">
              <w:rPr>
                <w:rFonts w:ascii="Arial" w:hAnsi="Arial" w:cs="Arial"/>
                <w:bCs/>
                <w:lang w:val="fr-FR"/>
              </w:rPr>
              <w:t>Cette lettre de mission est transmise par le ministre des Affaires sociales au Comité de l’assurance (et au Conseil général) de l’INAMI. Si la lettre de mission n’est pas remise ou n’est pas remise à temps, elle ne doit pas être prise en considération dans le cadre du processus budgétaire.</w:t>
            </w:r>
          </w:p>
          <w:p w14:paraId="40C563D1" w14:textId="766D6895" w:rsidR="004722CA" w:rsidRPr="00BE7B53" w:rsidRDefault="004722CA" w:rsidP="00BE7B53">
            <w:pPr>
              <w:tabs>
                <w:tab w:val="left" w:pos="4468"/>
                <w:tab w:val="left" w:pos="5643"/>
                <w:tab w:val="left" w:pos="9747"/>
              </w:tabs>
              <w:spacing w:after="0" w:line="240" w:lineRule="auto"/>
              <w:jc w:val="both"/>
              <w:rPr>
                <w:rFonts w:ascii="Arial" w:hAnsi="Arial" w:cs="Arial"/>
                <w:bCs/>
                <w:lang w:val="fr-FR"/>
              </w:rPr>
            </w:pPr>
          </w:p>
        </w:tc>
        <w:tc>
          <w:tcPr>
            <w:tcW w:w="5104" w:type="dxa"/>
          </w:tcPr>
          <w:p w14:paraId="6F931700" w14:textId="32CAE681" w:rsidR="004722CA" w:rsidRPr="0016610C" w:rsidRDefault="004722CA"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t>Die opdrachtbrief wordt door de minister van Sociale Zaken overgemaakt aan het Verzekeringscomité (en de Algemene Raad) bij het RIZIV. Indien de opdrachtbrief niet of niet tijdig wordt bezorgd</w:t>
            </w:r>
            <w:r w:rsidR="00536B62">
              <w:rPr>
                <w:rFonts w:ascii="Arial" w:eastAsia="Times New Roman" w:hAnsi="Arial" w:cs="Arial"/>
                <w:lang w:val="nl-NL"/>
              </w:rPr>
              <w:t>,</w:t>
            </w:r>
            <w:r w:rsidRPr="0016610C">
              <w:rPr>
                <w:rFonts w:ascii="Arial" w:eastAsia="Times New Roman" w:hAnsi="Arial" w:cs="Arial"/>
                <w:lang w:val="nl-NL"/>
              </w:rPr>
              <w:t xml:space="preserve"> hoeft er verder in het begrotingsproces geen rekening mee te worden gehouden. </w:t>
            </w:r>
          </w:p>
        </w:tc>
      </w:tr>
      <w:tr w:rsidR="004722CA" w:rsidRPr="00A827F1" w14:paraId="6295C18A" w14:textId="77777777" w:rsidTr="005F50EE">
        <w:tc>
          <w:tcPr>
            <w:tcW w:w="5104" w:type="dxa"/>
          </w:tcPr>
          <w:p w14:paraId="34129C02" w14:textId="77777777" w:rsidR="004722CA" w:rsidRPr="00BE7B53" w:rsidRDefault="004722CA" w:rsidP="009A3C5E">
            <w:pPr>
              <w:tabs>
                <w:tab w:val="left" w:pos="4468"/>
                <w:tab w:val="left" w:pos="5643"/>
                <w:tab w:val="left" w:pos="9747"/>
              </w:tabs>
              <w:spacing w:after="0" w:line="240" w:lineRule="auto"/>
              <w:jc w:val="both"/>
              <w:rPr>
                <w:rFonts w:ascii="Arial" w:hAnsi="Arial" w:cs="Arial"/>
                <w:bCs/>
                <w:lang w:val="nl-NL"/>
              </w:rPr>
            </w:pPr>
          </w:p>
        </w:tc>
        <w:tc>
          <w:tcPr>
            <w:tcW w:w="5104" w:type="dxa"/>
          </w:tcPr>
          <w:p w14:paraId="48F7B98A"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752690D4" w14:textId="77777777" w:rsidTr="005F50EE">
        <w:tc>
          <w:tcPr>
            <w:tcW w:w="5104" w:type="dxa"/>
          </w:tcPr>
          <w:p w14:paraId="219B6DA4" w14:textId="77777777" w:rsidR="00BE7B53" w:rsidRPr="00BE7B53" w:rsidRDefault="00BE7B53" w:rsidP="00BE7B53">
            <w:pPr>
              <w:tabs>
                <w:tab w:val="left" w:pos="4468"/>
                <w:tab w:val="left" w:pos="5643"/>
                <w:tab w:val="left" w:pos="9747"/>
              </w:tabs>
              <w:spacing w:after="0" w:line="240" w:lineRule="auto"/>
              <w:jc w:val="both"/>
              <w:rPr>
                <w:rFonts w:ascii="Arial" w:hAnsi="Arial" w:cs="Arial"/>
                <w:bCs/>
                <w:lang w:val="fr-FR"/>
              </w:rPr>
            </w:pPr>
            <w:r w:rsidRPr="00BE7B53">
              <w:rPr>
                <w:rFonts w:ascii="Arial" w:hAnsi="Arial" w:cs="Arial"/>
                <w:bCs/>
                <w:lang w:val="fr-FR"/>
              </w:rPr>
              <w:t>En outre, le Comité de l’assurance reste compétent pour préparer une proposition d’objectif budgétaire global – subdivisé en objectifs budgétaires partiels – dans le délai imparti (au plus tard le premier lundi d’octobre).</w:t>
            </w:r>
          </w:p>
          <w:p w14:paraId="262EC63E" w14:textId="77777777" w:rsidR="004722CA" w:rsidRPr="00BE7B53" w:rsidRDefault="004722CA" w:rsidP="009A3C5E">
            <w:pPr>
              <w:tabs>
                <w:tab w:val="left" w:pos="4468"/>
                <w:tab w:val="left" w:pos="5643"/>
                <w:tab w:val="left" w:pos="9747"/>
              </w:tabs>
              <w:spacing w:after="0" w:line="240" w:lineRule="auto"/>
              <w:jc w:val="both"/>
              <w:rPr>
                <w:rFonts w:ascii="Arial" w:hAnsi="Arial" w:cs="Arial"/>
                <w:bCs/>
                <w:lang w:val="fr-FR"/>
              </w:rPr>
            </w:pPr>
          </w:p>
        </w:tc>
        <w:tc>
          <w:tcPr>
            <w:tcW w:w="5104" w:type="dxa"/>
          </w:tcPr>
          <w:p w14:paraId="6B77FCB5" w14:textId="77777777" w:rsidR="004722CA" w:rsidRPr="0016610C" w:rsidRDefault="004722CA"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t xml:space="preserve">Vervolgens blijft het aan het Verzekeringscomité om een voorstel van een globale begrotingsdoelstelling -verder verdeeld in partiële begrotingsdoelstellingen- op te maken binnen de bestaande timing (uiterlijk eerste maandag van oktober). </w:t>
            </w:r>
          </w:p>
        </w:tc>
      </w:tr>
      <w:tr w:rsidR="004722CA" w:rsidRPr="00A827F1" w14:paraId="5194DFBF" w14:textId="77777777" w:rsidTr="005F50EE">
        <w:tc>
          <w:tcPr>
            <w:tcW w:w="5104" w:type="dxa"/>
          </w:tcPr>
          <w:p w14:paraId="638F1691" w14:textId="77777777" w:rsidR="004722CA" w:rsidRPr="00BE7B53" w:rsidRDefault="004722CA" w:rsidP="009A3C5E">
            <w:pPr>
              <w:tabs>
                <w:tab w:val="left" w:pos="4468"/>
                <w:tab w:val="left" w:pos="5643"/>
                <w:tab w:val="left" w:pos="9747"/>
              </w:tabs>
              <w:spacing w:after="0" w:line="240" w:lineRule="auto"/>
              <w:jc w:val="both"/>
              <w:rPr>
                <w:rFonts w:ascii="Arial" w:hAnsi="Arial" w:cs="Arial"/>
                <w:bCs/>
                <w:lang w:val="nl-NL"/>
              </w:rPr>
            </w:pPr>
          </w:p>
        </w:tc>
        <w:tc>
          <w:tcPr>
            <w:tcW w:w="5104" w:type="dxa"/>
          </w:tcPr>
          <w:p w14:paraId="036194C4"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5E494588" w14:textId="77777777" w:rsidTr="005F50EE">
        <w:tc>
          <w:tcPr>
            <w:tcW w:w="5104" w:type="dxa"/>
          </w:tcPr>
          <w:p w14:paraId="5758733C" w14:textId="4A58F72E" w:rsidR="004722CA" w:rsidRPr="00BE7B53" w:rsidRDefault="00BE7B53" w:rsidP="009A3C5E">
            <w:pPr>
              <w:tabs>
                <w:tab w:val="left" w:pos="4468"/>
                <w:tab w:val="left" w:pos="5643"/>
                <w:tab w:val="left" w:pos="9747"/>
              </w:tabs>
              <w:spacing w:after="0" w:line="240" w:lineRule="auto"/>
              <w:jc w:val="both"/>
              <w:rPr>
                <w:rFonts w:ascii="Arial" w:hAnsi="Arial" w:cs="Arial"/>
                <w:bCs/>
                <w:lang w:val="fr-FR"/>
              </w:rPr>
            </w:pPr>
            <w:r w:rsidRPr="00BE7B53">
              <w:rPr>
                <w:rFonts w:ascii="Arial" w:hAnsi="Arial" w:cs="Arial"/>
                <w:bCs/>
                <w:lang w:val="fr-FR"/>
              </w:rPr>
              <w:t xml:space="preserve">Le </w:t>
            </w:r>
            <w:r w:rsidR="00EE20BE">
              <w:rPr>
                <w:rFonts w:ascii="Arial" w:hAnsi="Arial" w:cs="Arial"/>
                <w:bCs/>
                <w:lang w:val="fr-FR"/>
              </w:rPr>
              <w:t>m</w:t>
            </w:r>
            <w:r w:rsidRPr="00BE7B53">
              <w:rPr>
                <w:rFonts w:ascii="Arial" w:hAnsi="Arial" w:cs="Arial"/>
                <w:bCs/>
                <w:lang w:val="fr-FR"/>
              </w:rPr>
              <w:t xml:space="preserve">inistre des Affaires sociales </w:t>
            </w:r>
            <w:r w:rsidR="004B312F">
              <w:rPr>
                <w:rFonts w:ascii="Arial" w:hAnsi="Arial" w:cs="Arial"/>
                <w:bCs/>
                <w:lang w:val="fr-FR"/>
              </w:rPr>
              <w:t>soumet</w:t>
            </w:r>
            <w:r w:rsidR="004B312F" w:rsidRPr="00BE7B53">
              <w:rPr>
                <w:rFonts w:ascii="Arial" w:hAnsi="Arial" w:cs="Arial"/>
                <w:bCs/>
                <w:lang w:val="fr-FR"/>
              </w:rPr>
              <w:t xml:space="preserve"> </w:t>
            </w:r>
            <w:r w:rsidRPr="00BE7B53">
              <w:rPr>
                <w:rFonts w:ascii="Arial" w:hAnsi="Arial" w:cs="Arial"/>
                <w:bCs/>
                <w:lang w:val="fr-FR"/>
              </w:rPr>
              <w:t>alors, sur base de cette proposition du Comité de l’assurance et compte tenu des avis sur cette proposition de la Commission de contrôle budgétaire et de la Commission pour les objectifs en matière de soins de santé – avis qui doivent être rendus et transmis au plus tard le deuxième lundi d’octobre – et compte tenu des estimations techniques révisées,  à l’approbation du Conseil des ministres un projet de budget des soins de santé- c’est-à-dire  concernant l’ensemble du budget des missions  : d’une part, la partie relative à l’objectif budgétaire (objectif global subdivisé en objectifs partiels), et d’autre part, la partie hors l’objectif budgétaire.</w:t>
            </w:r>
          </w:p>
        </w:tc>
        <w:tc>
          <w:tcPr>
            <w:tcW w:w="5104" w:type="dxa"/>
          </w:tcPr>
          <w:p w14:paraId="77499E42" w14:textId="37B3DC84" w:rsidR="004722CA" w:rsidRPr="0016610C" w:rsidRDefault="004722CA"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t xml:space="preserve">De minister van Sociale Zaken </w:t>
            </w:r>
            <w:r w:rsidR="004B312F">
              <w:rPr>
                <w:rFonts w:ascii="Arial" w:eastAsia="Times New Roman" w:hAnsi="Arial" w:cs="Arial"/>
                <w:lang w:val="nl-NL"/>
              </w:rPr>
              <w:t>legt</w:t>
            </w:r>
            <w:r w:rsidR="004B312F" w:rsidRPr="0016610C">
              <w:rPr>
                <w:rFonts w:ascii="Arial" w:eastAsia="Times New Roman" w:hAnsi="Arial" w:cs="Arial"/>
                <w:lang w:val="nl-NL"/>
              </w:rPr>
              <w:t xml:space="preserve"> </w:t>
            </w:r>
            <w:r w:rsidRPr="0016610C">
              <w:rPr>
                <w:rFonts w:ascii="Arial" w:eastAsia="Times New Roman" w:hAnsi="Arial" w:cs="Arial"/>
                <w:lang w:val="nl-NL"/>
              </w:rPr>
              <w:t xml:space="preserve">op basis van dit voorstel van het Verzekeringscomité en gelet op de adviezen op dat voorstel van de Commissie voor begrotingscontrole en de Commissie voor gezondheidszorgdoelstellingen -adviezen die uiterlijk de tweede maandag van oktober gegeven en overgemaakt moeten worden- en gelet op de herziene technische ramingen vervolgens een ontwerp van gezondheidszorgbegroting -betreft dus de volledige opdrachtenbegroting: enerzijds het deel begrotingsdoelstelling (globale doelstelling verder verdeeld in partiële doelstellingen) en anderzijds het deel buiten begrotingsdoelstelling- ter goedkeuring voor aan de Ministerraad. </w:t>
            </w:r>
          </w:p>
        </w:tc>
      </w:tr>
      <w:tr w:rsidR="004722CA" w:rsidRPr="00A827F1" w14:paraId="5D449BD1" w14:textId="77777777" w:rsidTr="005F50EE">
        <w:tc>
          <w:tcPr>
            <w:tcW w:w="5104" w:type="dxa"/>
          </w:tcPr>
          <w:p w14:paraId="3BFD607A"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026AFBA5"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1BF8D85E" w14:textId="77777777" w:rsidTr="005F50EE">
        <w:tc>
          <w:tcPr>
            <w:tcW w:w="5104" w:type="dxa"/>
          </w:tcPr>
          <w:p w14:paraId="2C1A8795" w14:textId="50484E48" w:rsidR="004722CA" w:rsidRPr="009B50C8" w:rsidRDefault="00BE7B53" w:rsidP="009A3C5E">
            <w:pPr>
              <w:tabs>
                <w:tab w:val="left" w:pos="4468"/>
                <w:tab w:val="left" w:pos="5643"/>
                <w:tab w:val="left" w:pos="9747"/>
              </w:tabs>
              <w:spacing w:after="0" w:line="240" w:lineRule="auto"/>
              <w:jc w:val="both"/>
              <w:rPr>
                <w:rFonts w:ascii="Arial" w:hAnsi="Arial" w:cs="Arial"/>
                <w:lang w:val="fr-FR"/>
              </w:rPr>
            </w:pPr>
            <w:r w:rsidRPr="00BE7B53">
              <w:rPr>
                <w:rFonts w:ascii="Arial" w:hAnsi="Arial" w:cs="Arial"/>
                <w:bCs/>
                <w:lang w:val="fr-FR"/>
              </w:rPr>
              <w:t xml:space="preserve">Le projet approuvé par le Conseil des ministres </w:t>
            </w:r>
            <w:r w:rsidR="004B312F">
              <w:rPr>
                <w:rFonts w:ascii="Arial" w:hAnsi="Arial" w:cs="Arial"/>
                <w:bCs/>
                <w:lang w:val="fr-FR"/>
              </w:rPr>
              <w:t>devient</w:t>
            </w:r>
            <w:r w:rsidR="004B312F" w:rsidRPr="00BE7B53">
              <w:rPr>
                <w:rFonts w:ascii="Arial" w:hAnsi="Arial" w:cs="Arial"/>
                <w:bCs/>
                <w:lang w:val="fr-FR"/>
              </w:rPr>
              <w:t xml:space="preserve"> </w:t>
            </w:r>
            <w:r w:rsidRPr="00BE7B53">
              <w:rPr>
                <w:rFonts w:ascii="Arial" w:hAnsi="Arial" w:cs="Arial"/>
                <w:bCs/>
                <w:lang w:val="fr-FR"/>
              </w:rPr>
              <w:t xml:space="preserve">ensuite le point de départ de la discussion du dossier budgétaire au Conseil général. S’il n’y a pas de projet du Conseil des ministres, le point de départ de l’examen par le Conseil général reste la proposition du Comité de l’assurance (qui se limite à l’objectif budgétaire). Quel que soit le projet de budget des soins de santé approuvé par le Conseil des ministres ou la proposition d’objectif budgétaire approuvée par le Comité de l’assurance, le Conseil général reste toutefois toujours compétent </w:t>
            </w:r>
            <w:r w:rsidR="00754079">
              <w:rPr>
                <w:rFonts w:ascii="Arial" w:hAnsi="Arial" w:cs="Arial"/>
                <w:bCs/>
                <w:lang w:val="fr-FR"/>
              </w:rPr>
              <w:t xml:space="preserve">en dernier ressort </w:t>
            </w:r>
            <w:r w:rsidRPr="00BE7B53">
              <w:rPr>
                <w:rFonts w:ascii="Arial" w:hAnsi="Arial" w:cs="Arial"/>
                <w:bCs/>
                <w:lang w:val="fr-FR"/>
              </w:rPr>
              <w:t xml:space="preserve">pour </w:t>
            </w:r>
            <w:r w:rsidR="00DF011E">
              <w:rPr>
                <w:rFonts w:ascii="Arial" w:hAnsi="Arial" w:cs="Arial"/>
                <w:bCs/>
                <w:lang w:val="fr-FR"/>
              </w:rPr>
              <w:t>décider du</w:t>
            </w:r>
            <w:r w:rsidRPr="00BE7B53">
              <w:rPr>
                <w:rFonts w:ascii="Arial" w:hAnsi="Arial" w:cs="Arial"/>
                <w:bCs/>
                <w:lang w:val="fr-FR"/>
              </w:rPr>
              <w:t xml:space="preserve"> budget des soins de santé</w:t>
            </w:r>
            <w:r w:rsidR="00DF011E">
              <w:rPr>
                <w:rFonts w:ascii="Arial" w:hAnsi="Arial" w:cs="Arial"/>
                <w:bCs/>
                <w:lang w:val="fr-FR"/>
              </w:rPr>
              <w:t xml:space="preserve">, tout en restant bien sûr dans les limites </w:t>
            </w:r>
            <w:r w:rsidR="00DF011E">
              <w:rPr>
                <w:rFonts w:ascii="Arial" w:hAnsi="Arial" w:cs="Arial"/>
                <w:bCs/>
                <w:lang w:val="fr-FR"/>
              </w:rPr>
              <w:lastRenderedPageBreak/>
              <w:t>budgétaires</w:t>
            </w:r>
            <w:r w:rsidRPr="00BE7B53">
              <w:rPr>
                <w:rFonts w:ascii="Arial" w:hAnsi="Arial" w:cs="Arial"/>
                <w:bCs/>
                <w:lang w:val="fr-FR"/>
              </w:rPr>
              <w:t>. En effet, un budget porté par les partenaires sociaux reste important. En ce qui concerne la compétence du Conseil général, le consentement unanime des représentants du gouvernement au sein de cet organe reste donc également nécessaire.</w:t>
            </w:r>
          </w:p>
        </w:tc>
        <w:tc>
          <w:tcPr>
            <w:tcW w:w="5104" w:type="dxa"/>
          </w:tcPr>
          <w:p w14:paraId="10D023C4" w14:textId="50958803" w:rsidR="004722CA" w:rsidRPr="0016610C" w:rsidRDefault="00D670A1"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lastRenderedPageBreak/>
              <w:t xml:space="preserve">Het door de Ministerraad goedgekeurde ontwerp </w:t>
            </w:r>
            <w:r>
              <w:rPr>
                <w:rFonts w:ascii="Arial" w:eastAsia="Times New Roman" w:hAnsi="Arial" w:cs="Arial"/>
                <w:lang w:val="nl-NL"/>
              </w:rPr>
              <w:t>wordt</w:t>
            </w:r>
            <w:r w:rsidRPr="0016610C">
              <w:rPr>
                <w:rFonts w:ascii="Arial" w:eastAsia="Times New Roman" w:hAnsi="Arial" w:cs="Arial"/>
                <w:lang w:val="nl-NL"/>
              </w:rPr>
              <w:t xml:space="preserve"> vervolgens het uitgangspunt voor de bespreking van het begrotingsdossier in de Algemene Raad. Indien er geen ontwerp vanuit de Ministerraad is blijft het vertrekpunt voor de behandeling door de Algemene Raad het voorstel van het Verzekeringscomité (dat beperkt is tot de begrotingsdoelstelling). Ongeacht enig eerder door de Ministerraad goedgekeurd ontwerp van gezondheidszorgbegroting of voorstel van begrotingsdoelstelling door het Verzekeringscomité blijft de Algemene Raad wel steeds finaal bevoegd om </w:t>
            </w:r>
            <w:r>
              <w:rPr>
                <w:rFonts w:ascii="Arial" w:eastAsia="Times New Roman" w:hAnsi="Arial" w:cs="Arial"/>
                <w:lang w:val="nl-NL"/>
              </w:rPr>
              <w:t xml:space="preserve">over </w:t>
            </w:r>
            <w:r w:rsidRPr="0016610C">
              <w:rPr>
                <w:rFonts w:ascii="Arial" w:eastAsia="Times New Roman" w:hAnsi="Arial" w:cs="Arial"/>
                <w:lang w:val="nl-NL"/>
              </w:rPr>
              <w:t xml:space="preserve">de </w:t>
            </w:r>
            <w:r w:rsidRPr="0016610C">
              <w:rPr>
                <w:rFonts w:ascii="Arial" w:eastAsia="Times New Roman" w:hAnsi="Arial" w:cs="Arial"/>
                <w:lang w:val="nl-NL"/>
              </w:rPr>
              <w:lastRenderedPageBreak/>
              <w:t xml:space="preserve">gezondheidszorgbegroting </w:t>
            </w:r>
            <w:r>
              <w:rPr>
                <w:rFonts w:ascii="Arial" w:eastAsia="Times New Roman" w:hAnsi="Arial" w:cs="Arial"/>
                <w:lang w:val="nl-NL"/>
              </w:rPr>
              <w:t>te beslissen, waarbij zij uiteraard wel binnen de budgettaire grenzen dienen te blijven</w:t>
            </w:r>
            <w:r w:rsidRPr="0016610C">
              <w:rPr>
                <w:rFonts w:ascii="Arial" w:eastAsia="Times New Roman" w:hAnsi="Arial" w:cs="Arial"/>
                <w:lang w:val="nl-NL"/>
              </w:rPr>
              <w:t xml:space="preserve">. Een door de sociale partners gedragen begroting blijft immers belangrijk. </w:t>
            </w:r>
            <w:r w:rsidR="004722CA" w:rsidRPr="0016610C">
              <w:rPr>
                <w:rFonts w:ascii="Arial" w:eastAsia="Times New Roman" w:hAnsi="Arial" w:cs="Arial"/>
                <w:lang w:val="nl-NL"/>
              </w:rPr>
              <w:t xml:space="preserve">Voor wat betreft de bevoegdheid van de Algemene Raad blijft het dus tevens zo dat een unanieme instemming van de regeringsvertegenwoordigers in dat orgaan noodzakelijk is. </w:t>
            </w:r>
          </w:p>
        </w:tc>
      </w:tr>
      <w:tr w:rsidR="004722CA" w:rsidRPr="00A827F1" w14:paraId="287083BE" w14:textId="77777777" w:rsidTr="005F50EE">
        <w:tc>
          <w:tcPr>
            <w:tcW w:w="5104" w:type="dxa"/>
          </w:tcPr>
          <w:p w14:paraId="34915089"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45CB6F10"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364538AA" w14:textId="77777777" w:rsidTr="005F50EE">
        <w:tc>
          <w:tcPr>
            <w:tcW w:w="5104" w:type="dxa"/>
          </w:tcPr>
          <w:p w14:paraId="7F7ADC12" w14:textId="02FFCF13" w:rsidR="004722CA" w:rsidRPr="00BE7B53" w:rsidRDefault="00BE7B53" w:rsidP="00BE7B53">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En l’absence d’approbation au sein du Conseil général, au plus tard le troisième lundi d’octobre, l’ensemble du dossier budgétaire reste également toujours transmis pour décision au Conseil des ministres.</w:t>
            </w:r>
          </w:p>
        </w:tc>
        <w:tc>
          <w:tcPr>
            <w:tcW w:w="5104" w:type="dxa"/>
          </w:tcPr>
          <w:p w14:paraId="2759ACC1" w14:textId="77777777" w:rsidR="004722CA" w:rsidRPr="0016610C" w:rsidRDefault="004722CA" w:rsidP="009A3C5E">
            <w:pPr>
              <w:spacing w:after="0" w:line="240" w:lineRule="auto"/>
              <w:jc w:val="both"/>
              <w:outlineLvl w:val="0"/>
              <w:rPr>
                <w:rFonts w:ascii="Arial" w:eastAsia="Times New Roman" w:hAnsi="Arial" w:cs="Arial"/>
                <w:lang w:val="nl-NL"/>
              </w:rPr>
            </w:pPr>
            <w:r w:rsidRPr="0016610C">
              <w:rPr>
                <w:rFonts w:ascii="Arial" w:eastAsia="Times New Roman" w:hAnsi="Arial" w:cs="Arial"/>
                <w:lang w:val="nl-NL"/>
              </w:rPr>
              <w:t xml:space="preserve">Indien er geen goedkeuring is binnen de Algemene Raad ten laatste de derde maandag van oktober zal het volledige begrotingsdossier ook nu nog steeds worden overgemaakt voor beslissing in de Ministerraad.  </w:t>
            </w:r>
          </w:p>
        </w:tc>
      </w:tr>
      <w:tr w:rsidR="004722CA" w:rsidRPr="00A827F1" w14:paraId="34334C39" w14:textId="77777777" w:rsidTr="005F50EE">
        <w:tc>
          <w:tcPr>
            <w:tcW w:w="5104" w:type="dxa"/>
          </w:tcPr>
          <w:p w14:paraId="189B8F5A"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22D72F03" w14:textId="77777777" w:rsidR="004722CA" w:rsidRPr="00DF4489" w:rsidRDefault="004722CA" w:rsidP="009A3C5E">
            <w:pPr>
              <w:tabs>
                <w:tab w:val="left" w:pos="4468"/>
                <w:tab w:val="left" w:pos="5643"/>
                <w:tab w:val="left" w:pos="9747"/>
              </w:tabs>
              <w:spacing w:after="0" w:line="240" w:lineRule="auto"/>
              <w:jc w:val="both"/>
              <w:rPr>
                <w:rFonts w:ascii="Arial" w:hAnsi="Arial" w:cs="Arial"/>
                <w:lang w:val="nl-NL"/>
              </w:rPr>
            </w:pPr>
          </w:p>
        </w:tc>
      </w:tr>
      <w:tr w:rsidR="00754079" w:rsidRPr="00A827F1" w14:paraId="7F0FE9E4" w14:textId="77777777" w:rsidTr="005F50EE">
        <w:tc>
          <w:tcPr>
            <w:tcW w:w="5104" w:type="dxa"/>
          </w:tcPr>
          <w:p w14:paraId="4A0A2D2A" w14:textId="20C963A2" w:rsidR="00754079" w:rsidRPr="00754079" w:rsidRDefault="00754079" w:rsidP="009A3C5E">
            <w:pPr>
              <w:tabs>
                <w:tab w:val="left" w:pos="4468"/>
                <w:tab w:val="left" w:pos="5643"/>
                <w:tab w:val="left" w:pos="9747"/>
              </w:tabs>
              <w:spacing w:after="0" w:line="240" w:lineRule="auto"/>
              <w:jc w:val="both"/>
              <w:rPr>
                <w:rFonts w:ascii="Arial" w:hAnsi="Arial" w:cs="Arial"/>
                <w:lang w:val="fr-FR"/>
              </w:rPr>
            </w:pPr>
            <w:r w:rsidRPr="00754079">
              <w:rPr>
                <w:rFonts w:ascii="Arial" w:hAnsi="Arial" w:cs="Arial"/>
                <w:lang w:val="fr-FR"/>
              </w:rPr>
              <w:t>Le Conseil des ministres (/Ministre) peut également exercer toute compétence dont il dispose dans le processus budgétaire (la lettre de mission, le projet de budget après la proposition du Comité de l'assurance et avant la décision au Conseil général, ainsi que la fixation du budget si aucune décision budgétaire n'a été prise (dans les délais) au Conseil général) au cours d'une période de gouvernement en affaires courantes.</w:t>
            </w:r>
          </w:p>
        </w:tc>
        <w:tc>
          <w:tcPr>
            <w:tcW w:w="5104" w:type="dxa"/>
          </w:tcPr>
          <w:p w14:paraId="03737303" w14:textId="2CDF1A60" w:rsidR="00754079" w:rsidRPr="00754079" w:rsidRDefault="00754079" w:rsidP="009A3C5E">
            <w:pPr>
              <w:tabs>
                <w:tab w:val="left" w:pos="4468"/>
                <w:tab w:val="left" w:pos="5643"/>
                <w:tab w:val="left" w:pos="9747"/>
              </w:tabs>
              <w:spacing w:after="0" w:line="240" w:lineRule="auto"/>
              <w:jc w:val="both"/>
              <w:rPr>
                <w:rFonts w:ascii="Arial" w:hAnsi="Arial" w:cs="Arial"/>
                <w:lang w:val="nl-NL"/>
              </w:rPr>
            </w:pPr>
            <w:r w:rsidRPr="00754079">
              <w:rPr>
                <w:rFonts w:ascii="Arial" w:hAnsi="Arial" w:cs="Arial"/>
                <w:lang w:val="nl-NL"/>
              </w:rPr>
              <w:t>De Ministerraad (/Minister) kan elke bevoegdheid die hij heeft in het begrotingsproces (de opdrachtbrief, de ontwerpbegroting na het voorstel van het Verzekeringscomité en voor de beslissing in de Algemene Raad, én het bepalen van de begroting indien geen (tijdige) begrotingsbeslissing werd genomen in de Algemene Raad) ook uitoefenen gedurende een periode van een regering in lopende zaken.</w:t>
            </w:r>
          </w:p>
        </w:tc>
      </w:tr>
      <w:tr w:rsidR="00754079" w:rsidRPr="00A827F1" w14:paraId="64C0862E" w14:textId="77777777" w:rsidTr="005F50EE">
        <w:tc>
          <w:tcPr>
            <w:tcW w:w="5104" w:type="dxa"/>
          </w:tcPr>
          <w:p w14:paraId="1455DB25" w14:textId="77777777" w:rsidR="00754079" w:rsidRPr="00754079" w:rsidRDefault="00754079"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3CC4CB85" w14:textId="77777777" w:rsidR="00754079" w:rsidRPr="00754079" w:rsidRDefault="00754079"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53E3A5EC" w14:textId="77777777" w:rsidTr="005F50EE">
        <w:tc>
          <w:tcPr>
            <w:tcW w:w="5104" w:type="dxa"/>
          </w:tcPr>
          <w:p w14:paraId="57DE3764" w14:textId="591E5CCD" w:rsidR="00BE7B53" w:rsidRPr="00671DC6" w:rsidRDefault="00BE7B53" w:rsidP="00BE7B53">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Outre la modification des dispositions relatives à la procédure budgétaire, il est également précisé que les mécanismes de responsabilisation déjà prévus par la loi SSI </w:t>
            </w:r>
            <w:r w:rsidR="009B50C8" w:rsidRPr="00671DC6">
              <w:rPr>
                <w:rFonts w:ascii="Arial" w:hAnsi="Arial" w:cs="Arial"/>
                <w:lang w:val="fr-FR"/>
              </w:rPr>
              <w:t>seront</w:t>
            </w:r>
            <w:r w:rsidRPr="00671DC6">
              <w:rPr>
                <w:rFonts w:ascii="Arial" w:hAnsi="Arial" w:cs="Arial"/>
                <w:lang w:val="fr-FR"/>
              </w:rPr>
              <w:t xml:space="preserve"> activés à tout moment au cour</w:t>
            </w:r>
            <w:r w:rsidR="00E80604" w:rsidRPr="00671DC6">
              <w:rPr>
                <w:rFonts w:ascii="Arial" w:hAnsi="Arial" w:cs="Arial"/>
                <w:lang w:val="fr-FR"/>
              </w:rPr>
              <w:t>s</w:t>
            </w:r>
            <w:r w:rsidRPr="00671DC6">
              <w:rPr>
                <w:rFonts w:ascii="Arial" w:hAnsi="Arial" w:cs="Arial"/>
                <w:lang w:val="fr-FR"/>
              </w:rPr>
              <w:t xml:space="preserve"> de l’exercice budgétaire quand il apparait (par exemple, sur base des estimations techniques initiales, des estimations techniques révisées, de l’audit permanent ou de l’évolution mensuelle des dépenses) que l’objectif budgétaire global pour cette année serait dépassé</w:t>
            </w:r>
            <w:r w:rsidR="00E94D80" w:rsidRPr="00671DC6">
              <w:rPr>
                <w:rFonts w:ascii="Arial" w:hAnsi="Arial" w:cs="Arial"/>
                <w:lang w:val="fr-FR"/>
              </w:rPr>
              <w:t xml:space="preserve"> de manière </w:t>
            </w:r>
            <w:r w:rsidR="00797C61" w:rsidRPr="00671DC6">
              <w:rPr>
                <w:rFonts w:ascii="Arial" w:hAnsi="Arial" w:cs="Arial"/>
                <w:lang w:val="fr-FR"/>
              </w:rPr>
              <w:t xml:space="preserve">significativement </w:t>
            </w:r>
            <w:r w:rsidR="001C1FB4" w:rsidRPr="00671DC6">
              <w:rPr>
                <w:rFonts w:ascii="Arial" w:hAnsi="Arial" w:cs="Arial"/>
                <w:lang w:val="fr-FR"/>
              </w:rPr>
              <w:t xml:space="preserve">non </w:t>
            </w:r>
            <w:r w:rsidR="00E94D80" w:rsidRPr="00671DC6">
              <w:rPr>
                <w:rFonts w:ascii="Arial" w:hAnsi="Arial" w:cs="Arial"/>
                <w:lang w:val="fr-FR"/>
              </w:rPr>
              <w:t>justifiée</w:t>
            </w:r>
            <w:r w:rsidRPr="00671DC6">
              <w:rPr>
                <w:rFonts w:ascii="Arial" w:hAnsi="Arial" w:cs="Arial"/>
                <w:lang w:val="fr-FR"/>
              </w:rPr>
              <w:t>.</w:t>
            </w:r>
            <w:r w:rsidR="009B50C8" w:rsidRPr="00671DC6">
              <w:rPr>
                <w:lang w:val="fr-FR"/>
              </w:rPr>
              <w:t xml:space="preserve"> </w:t>
            </w:r>
            <w:r w:rsidR="009B50C8" w:rsidRPr="00671DC6">
              <w:rPr>
                <w:rFonts w:ascii="Arial" w:hAnsi="Arial" w:cs="Arial"/>
                <w:lang w:val="fr-FR"/>
              </w:rPr>
              <w:t xml:space="preserve">Une stricte application de cette règle permettra, plus rapidement qu’aujourd’hui, que toute menace de dépassement global </w:t>
            </w:r>
            <w:r w:rsidR="00797C61" w:rsidRPr="00671DC6">
              <w:rPr>
                <w:rFonts w:ascii="Arial" w:hAnsi="Arial" w:cs="Arial"/>
                <w:lang w:val="fr-FR"/>
              </w:rPr>
              <w:t xml:space="preserve">significativement </w:t>
            </w:r>
            <w:r w:rsidR="001C1FB4" w:rsidRPr="00671DC6">
              <w:rPr>
                <w:rFonts w:ascii="Arial" w:hAnsi="Arial" w:cs="Arial"/>
                <w:lang w:val="fr-FR"/>
              </w:rPr>
              <w:t xml:space="preserve">non </w:t>
            </w:r>
            <w:r w:rsidR="00BE6EB7" w:rsidRPr="00671DC6">
              <w:rPr>
                <w:rFonts w:ascii="Arial" w:hAnsi="Arial" w:cs="Arial"/>
                <w:lang w:val="fr-FR"/>
              </w:rPr>
              <w:t xml:space="preserve">justifié </w:t>
            </w:r>
            <w:r w:rsidR="009B50C8" w:rsidRPr="00671DC6">
              <w:rPr>
                <w:rFonts w:ascii="Arial" w:hAnsi="Arial" w:cs="Arial"/>
                <w:lang w:val="fr-FR"/>
              </w:rPr>
              <w:t xml:space="preserve">soit gérée avec des mesures concrètes qui doivent permettre que le risque de </w:t>
            </w:r>
            <w:r w:rsidR="00BE6EB7" w:rsidRPr="00671DC6">
              <w:rPr>
                <w:rFonts w:ascii="Arial" w:hAnsi="Arial" w:cs="Arial"/>
                <w:lang w:val="fr-FR"/>
              </w:rPr>
              <w:t xml:space="preserve">ce </w:t>
            </w:r>
            <w:r w:rsidR="009B50C8" w:rsidRPr="00671DC6">
              <w:rPr>
                <w:rFonts w:ascii="Arial" w:hAnsi="Arial" w:cs="Arial"/>
                <w:lang w:val="fr-FR"/>
              </w:rPr>
              <w:t xml:space="preserve">dépassement </w:t>
            </w:r>
            <w:r w:rsidR="00797C61" w:rsidRPr="00671DC6">
              <w:rPr>
                <w:rFonts w:ascii="Arial" w:hAnsi="Arial" w:cs="Arial"/>
                <w:lang w:val="fr-FR"/>
              </w:rPr>
              <w:t xml:space="preserve">significativement </w:t>
            </w:r>
            <w:r w:rsidR="001C1FB4" w:rsidRPr="00671DC6">
              <w:rPr>
                <w:rFonts w:ascii="Arial" w:hAnsi="Arial" w:cs="Arial"/>
                <w:lang w:val="fr-FR"/>
              </w:rPr>
              <w:t xml:space="preserve">non </w:t>
            </w:r>
            <w:r w:rsidR="00BE6EB7" w:rsidRPr="00671DC6">
              <w:rPr>
                <w:rFonts w:ascii="Arial" w:hAnsi="Arial" w:cs="Arial"/>
                <w:lang w:val="fr-FR"/>
              </w:rPr>
              <w:t xml:space="preserve">justifié </w:t>
            </w:r>
            <w:r w:rsidR="009B50C8" w:rsidRPr="00671DC6">
              <w:rPr>
                <w:rFonts w:ascii="Arial" w:hAnsi="Arial" w:cs="Arial"/>
                <w:lang w:val="fr-FR"/>
              </w:rPr>
              <w:t>soit maîtrisé.</w:t>
            </w:r>
          </w:p>
          <w:p w14:paraId="2F000126" w14:textId="77777777" w:rsidR="004722CA" w:rsidRPr="00671DC6" w:rsidRDefault="004722CA" w:rsidP="009A3C5E">
            <w:pPr>
              <w:tabs>
                <w:tab w:val="left" w:pos="4468"/>
                <w:tab w:val="left" w:pos="5643"/>
                <w:tab w:val="left" w:pos="9747"/>
              </w:tabs>
              <w:spacing w:after="0" w:line="240" w:lineRule="auto"/>
              <w:jc w:val="both"/>
              <w:rPr>
                <w:rFonts w:ascii="Arial" w:hAnsi="Arial" w:cs="Arial"/>
                <w:lang w:val="fr-FR"/>
              </w:rPr>
            </w:pPr>
          </w:p>
        </w:tc>
        <w:tc>
          <w:tcPr>
            <w:tcW w:w="5104" w:type="dxa"/>
          </w:tcPr>
          <w:p w14:paraId="2E38CB7F" w14:textId="79ED82A0" w:rsidR="004722CA" w:rsidRPr="00671DC6" w:rsidRDefault="004722CA" w:rsidP="009A3C5E">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t xml:space="preserve">Naast wijzigingsbepalingen inzake het begrotingsproces wordt er ook verduidelijkt dat de in </w:t>
            </w:r>
            <w:r w:rsidR="00536B62" w:rsidRPr="00671DC6">
              <w:rPr>
                <w:rFonts w:ascii="Arial" w:eastAsia="Times New Roman" w:hAnsi="Arial" w:cs="Arial"/>
                <w:lang w:val="nl-NL"/>
              </w:rPr>
              <w:t xml:space="preserve">de </w:t>
            </w:r>
            <w:r w:rsidRPr="00671DC6">
              <w:rPr>
                <w:rFonts w:ascii="Arial" w:eastAsia="Times New Roman" w:hAnsi="Arial" w:cs="Arial"/>
                <w:lang w:val="nl-NL"/>
              </w:rPr>
              <w:t xml:space="preserve">GVU-wet bestaande responsabiliseringsmechanismen ten alle tijde gedurende het begrotingsjaar </w:t>
            </w:r>
            <w:r w:rsidR="009B50C8" w:rsidRPr="00671DC6">
              <w:rPr>
                <w:rFonts w:ascii="Arial" w:eastAsia="Times New Roman" w:hAnsi="Arial" w:cs="Arial"/>
                <w:lang w:val="nl-NL"/>
              </w:rPr>
              <w:t xml:space="preserve">zullen </w:t>
            </w:r>
            <w:r w:rsidRPr="00671DC6">
              <w:rPr>
                <w:rFonts w:ascii="Arial" w:eastAsia="Times New Roman" w:hAnsi="Arial" w:cs="Arial"/>
                <w:lang w:val="nl-NL"/>
              </w:rPr>
              <w:t xml:space="preserve">worden geactiveerd wanneer blijkt (uit bvb. de initiële technische ramingen, de herziene technische ramingen, de permanente audit of de maandelijkse evolutie van de uitgaven) dat de globale begrotingsdoelstelling voor dat jaar </w:t>
            </w:r>
            <w:r w:rsidR="00E94D80" w:rsidRPr="00671DC6">
              <w:rPr>
                <w:rFonts w:ascii="Arial" w:eastAsia="Times New Roman" w:hAnsi="Arial" w:cs="Arial"/>
                <w:lang w:val="nl-NL"/>
              </w:rPr>
              <w:t>op</w:t>
            </w:r>
            <w:r w:rsidR="00544355" w:rsidRPr="00671DC6">
              <w:rPr>
                <w:rFonts w:ascii="Arial" w:eastAsia="Times New Roman" w:hAnsi="Arial" w:cs="Arial"/>
                <w:lang w:val="nl-NL"/>
              </w:rPr>
              <w:t xml:space="preserve"> beduidende</w:t>
            </w:r>
            <w:r w:rsidR="00E94D80" w:rsidRPr="00671DC6">
              <w:rPr>
                <w:rFonts w:ascii="Arial" w:eastAsia="Times New Roman" w:hAnsi="Arial" w:cs="Arial"/>
                <w:lang w:val="nl-NL"/>
              </w:rPr>
              <w:t xml:space="preserve"> niet</w:t>
            </w:r>
            <w:r w:rsidR="00D83D55" w:rsidRPr="00671DC6">
              <w:rPr>
                <w:rFonts w:ascii="Arial" w:eastAsia="Times New Roman" w:hAnsi="Arial" w:cs="Arial"/>
                <w:lang w:val="nl-NL"/>
              </w:rPr>
              <w:t xml:space="preserve"> gerechtvaardigde</w:t>
            </w:r>
            <w:r w:rsidR="00E94D80" w:rsidRPr="00671DC6">
              <w:rPr>
                <w:rFonts w:ascii="Arial" w:eastAsia="Times New Roman" w:hAnsi="Arial" w:cs="Arial"/>
                <w:lang w:val="nl-NL"/>
              </w:rPr>
              <w:t xml:space="preserve"> wijze </w:t>
            </w:r>
            <w:r w:rsidRPr="00671DC6">
              <w:rPr>
                <w:rFonts w:ascii="Arial" w:eastAsia="Times New Roman" w:hAnsi="Arial" w:cs="Arial"/>
                <w:lang w:val="nl-NL"/>
              </w:rPr>
              <w:t xml:space="preserve">overschreden zou worden. </w:t>
            </w:r>
            <w:r w:rsidR="009B50C8" w:rsidRPr="00671DC6">
              <w:rPr>
                <w:rFonts w:ascii="Arial" w:eastAsia="Times New Roman" w:hAnsi="Arial" w:cs="Arial"/>
                <w:lang w:val="nl-NL"/>
              </w:rPr>
              <w:t xml:space="preserve">Een strikte toepassing hiervan zal ertoe leiden dat -sneller dan op heden- elke dreigende globale </w:t>
            </w:r>
            <w:r w:rsidR="00544355" w:rsidRPr="00671DC6">
              <w:rPr>
                <w:rFonts w:ascii="Arial" w:eastAsia="Times New Roman" w:hAnsi="Arial" w:cs="Arial"/>
                <w:lang w:val="nl-NL"/>
              </w:rPr>
              <w:t xml:space="preserve">beduidende </w:t>
            </w:r>
            <w:r w:rsidR="00BE6EB7" w:rsidRPr="00671DC6">
              <w:rPr>
                <w:rFonts w:ascii="Arial" w:eastAsia="Times New Roman" w:hAnsi="Arial" w:cs="Arial"/>
                <w:lang w:val="nl-NL"/>
              </w:rPr>
              <w:t>niet</w:t>
            </w:r>
            <w:r w:rsidR="0036290D" w:rsidRPr="00671DC6">
              <w:rPr>
                <w:rFonts w:ascii="Arial" w:eastAsia="Times New Roman" w:hAnsi="Arial" w:cs="Arial"/>
                <w:lang w:val="nl-NL"/>
              </w:rPr>
              <w:t xml:space="preserve"> gerechtvaardigde</w:t>
            </w:r>
            <w:r w:rsidR="00BE6EB7" w:rsidRPr="00671DC6">
              <w:rPr>
                <w:rFonts w:ascii="Arial" w:eastAsia="Times New Roman" w:hAnsi="Arial" w:cs="Arial"/>
                <w:lang w:val="nl-NL"/>
              </w:rPr>
              <w:t xml:space="preserve"> </w:t>
            </w:r>
            <w:r w:rsidR="009B50C8" w:rsidRPr="00671DC6">
              <w:rPr>
                <w:rFonts w:ascii="Arial" w:eastAsia="Times New Roman" w:hAnsi="Arial" w:cs="Arial"/>
                <w:lang w:val="nl-NL"/>
              </w:rPr>
              <w:t>overschrijding aangepakt wordt met concrete maatregelen die ervoor moeten zorgen dat de</w:t>
            </w:r>
            <w:r w:rsidR="00BE6EB7" w:rsidRPr="00671DC6">
              <w:rPr>
                <w:rFonts w:ascii="Arial" w:eastAsia="Times New Roman" w:hAnsi="Arial" w:cs="Arial"/>
                <w:lang w:val="nl-NL"/>
              </w:rPr>
              <w:t>ze</w:t>
            </w:r>
            <w:r w:rsidR="009B50C8" w:rsidRPr="00671DC6">
              <w:rPr>
                <w:rFonts w:ascii="Arial" w:eastAsia="Times New Roman" w:hAnsi="Arial" w:cs="Arial"/>
                <w:lang w:val="nl-NL"/>
              </w:rPr>
              <w:t xml:space="preserve"> dreigende </w:t>
            </w:r>
            <w:r w:rsidR="00544355" w:rsidRPr="00671DC6">
              <w:rPr>
                <w:rFonts w:ascii="Arial" w:eastAsia="Times New Roman" w:hAnsi="Arial" w:cs="Arial"/>
                <w:lang w:val="nl-NL"/>
              </w:rPr>
              <w:t xml:space="preserve">beduidende </w:t>
            </w:r>
            <w:r w:rsidR="00BE6EB7" w:rsidRPr="00671DC6">
              <w:rPr>
                <w:rFonts w:ascii="Arial" w:eastAsia="Times New Roman" w:hAnsi="Arial" w:cs="Arial"/>
                <w:lang w:val="nl-NL"/>
              </w:rPr>
              <w:t>niet</w:t>
            </w:r>
            <w:r w:rsidR="0036290D" w:rsidRPr="00671DC6">
              <w:rPr>
                <w:rFonts w:ascii="Arial" w:eastAsia="Times New Roman" w:hAnsi="Arial" w:cs="Arial"/>
                <w:lang w:val="nl-NL"/>
              </w:rPr>
              <w:t xml:space="preserve"> gerechtvaardigde</w:t>
            </w:r>
            <w:r w:rsidR="00BE6EB7" w:rsidRPr="00671DC6">
              <w:rPr>
                <w:rFonts w:ascii="Arial" w:eastAsia="Times New Roman" w:hAnsi="Arial" w:cs="Arial"/>
                <w:lang w:val="nl-NL"/>
              </w:rPr>
              <w:t xml:space="preserve"> </w:t>
            </w:r>
            <w:r w:rsidR="009B50C8" w:rsidRPr="00671DC6">
              <w:rPr>
                <w:rFonts w:ascii="Arial" w:eastAsia="Times New Roman" w:hAnsi="Arial" w:cs="Arial"/>
                <w:lang w:val="nl-NL"/>
              </w:rPr>
              <w:t>overschrijding beteugeld wordt.</w:t>
            </w:r>
          </w:p>
        </w:tc>
      </w:tr>
      <w:tr w:rsidR="004722CA" w:rsidRPr="00A827F1" w14:paraId="0F1D5DDE" w14:textId="77777777" w:rsidTr="005F50EE">
        <w:tc>
          <w:tcPr>
            <w:tcW w:w="5104" w:type="dxa"/>
          </w:tcPr>
          <w:p w14:paraId="5F611FF4" w14:textId="77777777" w:rsidR="004722CA" w:rsidRPr="00671DC6"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2C13CFF3" w14:textId="77777777" w:rsidR="004722CA" w:rsidRPr="00671DC6"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65146ADA" w14:textId="77777777" w:rsidTr="005F50EE">
        <w:tc>
          <w:tcPr>
            <w:tcW w:w="5104" w:type="dxa"/>
          </w:tcPr>
          <w:p w14:paraId="74A6D726" w14:textId="06D44F5F" w:rsidR="004722CA" w:rsidRPr="00671DC6" w:rsidRDefault="00BE7B53" w:rsidP="009A3C5E">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Toute observation d’un dépassement </w:t>
            </w:r>
            <w:r w:rsidR="00797C61" w:rsidRPr="00671DC6">
              <w:rPr>
                <w:rFonts w:ascii="Arial" w:hAnsi="Arial" w:cs="Arial"/>
                <w:lang w:val="fr-FR"/>
              </w:rPr>
              <w:t xml:space="preserve">significativement </w:t>
            </w:r>
            <w:r w:rsidR="001C1FB4" w:rsidRPr="00671DC6">
              <w:rPr>
                <w:rFonts w:ascii="Arial" w:hAnsi="Arial" w:cs="Arial"/>
                <w:lang w:val="fr-FR"/>
              </w:rPr>
              <w:t xml:space="preserve">non </w:t>
            </w:r>
            <w:r w:rsidRPr="00671DC6">
              <w:rPr>
                <w:rFonts w:ascii="Arial" w:hAnsi="Arial" w:cs="Arial"/>
                <w:lang w:val="fr-FR"/>
              </w:rPr>
              <w:t>justifié de l’objectif budgétaire partiel qui risque de faire dérailler l’objectif budgétaire global (quand, en d’autres termes,  des compensations nécessaires entre les objectifs budgétaires partiels ne sont pas possibles), d</w:t>
            </w:r>
            <w:r w:rsidR="00E3720E" w:rsidRPr="00671DC6">
              <w:rPr>
                <w:rFonts w:ascii="Arial" w:hAnsi="Arial" w:cs="Arial"/>
                <w:lang w:val="fr-FR"/>
              </w:rPr>
              <w:t>o</w:t>
            </w:r>
            <w:r w:rsidRPr="00671DC6">
              <w:rPr>
                <w:rFonts w:ascii="Arial" w:hAnsi="Arial" w:cs="Arial"/>
                <w:lang w:val="fr-FR"/>
              </w:rPr>
              <w:t xml:space="preserve">it déclencher les mesures et les mécanismes afin </w:t>
            </w:r>
            <w:r w:rsidRPr="00671DC6">
              <w:rPr>
                <w:rFonts w:ascii="Arial" w:hAnsi="Arial" w:cs="Arial"/>
                <w:lang w:val="fr-FR"/>
              </w:rPr>
              <w:lastRenderedPageBreak/>
              <w:t>d’assurer le respect du cadre budgétaire. Dans ce cadre, il convient d’examiner quels secteurs devraient faire des efforts et pour quels objectifs partiels. Cela s’inscrit également dans la stratégie plus globale visant à promouvoir l’utilisation efficace des ressources.</w:t>
            </w:r>
            <w:r w:rsidR="00477C89" w:rsidRPr="00671DC6">
              <w:rPr>
                <w:lang w:val="fr-FR"/>
              </w:rPr>
              <w:t xml:space="preserve"> </w:t>
            </w:r>
            <w:r w:rsidR="00477C89" w:rsidRPr="00671DC6">
              <w:rPr>
                <w:rFonts w:ascii="Arial" w:hAnsi="Arial" w:cs="Arial"/>
                <w:lang w:val="fr-FR"/>
              </w:rPr>
              <w:t>Les dépassements justifiés d’un objectif budgétaire partiel sont des dépassements qui résultent de facteurs externes échappant au contrôle du secteur</w:t>
            </w:r>
            <w:r w:rsidR="0051721B" w:rsidRPr="00671DC6">
              <w:rPr>
                <w:lang w:val="fr-FR"/>
              </w:rPr>
              <w:t xml:space="preserve"> </w:t>
            </w:r>
            <w:r w:rsidR="0051721B" w:rsidRPr="00671DC6">
              <w:rPr>
                <w:rFonts w:ascii="Arial" w:hAnsi="Arial" w:cs="Arial"/>
                <w:lang w:val="fr-FR"/>
              </w:rPr>
              <w:t>ou des politiques souhaitées au sein d'un secteur qui entraînent des dynamiques de dépenses imprévues</w:t>
            </w:r>
            <w:r w:rsidR="00477C89" w:rsidRPr="00671DC6">
              <w:rPr>
                <w:rFonts w:ascii="Arial" w:hAnsi="Arial" w:cs="Arial"/>
                <w:lang w:val="fr-FR"/>
              </w:rPr>
              <w:t>, comme par exemple une augmentation temporaire du nombre de consultations de médecins généralistes suite à une campagne de vaccination décidée en raison de l’apparition soudaine d’un virus, ou une campagne de prévention (au niveau des entités fédérées) qui entraîne une forte augmentation du nombre de prestations de suivi facturées à l’assurance obligatoire soins de santé (par exemple, la campagne de dépistage du cancer du côlon a entraîné une augmentation des dépenses en gastro-entérologie).</w:t>
            </w:r>
          </w:p>
        </w:tc>
        <w:tc>
          <w:tcPr>
            <w:tcW w:w="5104" w:type="dxa"/>
          </w:tcPr>
          <w:p w14:paraId="3F98D446" w14:textId="19F59953" w:rsidR="004722CA" w:rsidRPr="0016610C" w:rsidRDefault="004722CA" w:rsidP="009A3C5E">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lastRenderedPageBreak/>
              <w:t xml:space="preserve">Bij elke vaststelling van een </w:t>
            </w:r>
            <w:r w:rsidR="00544355" w:rsidRPr="00671DC6">
              <w:rPr>
                <w:rFonts w:ascii="Arial" w:eastAsia="Times New Roman" w:hAnsi="Arial" w:cs="Arial"/>
                <w:lang w:val="nl-NL"/>
              </w:rPr>
              <w:t xml:space="preserve">beduidende </w:t>
            </w:r>
            <w:r w:rsidRPr="00671DC6">
              <w:rPr>
                <w:rFonts w:ascii="Arial" w:eastAsia="Times New Roman" w:hAnsi="Arial" w:cs="Arial"/>
                <w:lang w:val="nl-NL"/>
              </w:rPr>
              <w:t>niet</w:t>
            </w:r>
            <w:r w:rsidR="00D83D55" w:rsidRPr="00671DC6">
              <w:rPr>
                <w:rFonts w:ascii="Arial" w:eastAsia="Times New Roman" w:hAnsi="Arial" w:cs="Arial"/>
                <w:lang w:val="nl-NL"/>
              </w:rPr>
              <w:t xml:space="preserve"> gerechtvaardigde</w:t>
            </w:r>
            <w:r w:rsidRPr="00671DC6">
              <w:rPr>
                <w:rFonts w:ascii="Arial" w:eastAsia="Times New Roman" w:hAnsi="Arial" w:cs="Arial"/>
                <w:lang w:val="nl-NL"/>
              </w:rPr>
              <w:t xml:space="preserve"> overschrijding van een partiële begrotingsdoelstelling die de globale begrotingsdoelstelling dreigt te doen ontsporen (waarbij er met andere woorden niet de nodige onderlinge compensaties mogelijk zijn tussen partiële begrotingsdoelstellingen) dienen aldus de </w:t>
            </w:r>
            <w:r w:rsidRPr="00671DC6">
              <w:rPr>
                <w:rFonts w:ascii="Arial" w:eastAsia="Times New Roman" w:hAnsi="Arial" w:cs="Arial"/>
                <w:lang w:val="nl-NL"/>
              </w:rPr>
              <w:lastRenderedPageBreak/>
              <w:t>maatregelen en mechanismen in gang te worden gezet om de naleving van het begrotingskader te waarborgen. In dat kader dient te worden bekeken welke sectoren en welke partiële doelstellingen op dat vlak dus welke inspanning zouden moeten doen. Dit past tevens binnen de meer globale strategie om het doelmatige gebruik van de middelen te bevorderen.  </w:t>
            </w:r>
            <w:r w:rsidR="00477C89" w:rsidRPr="00671DC6">
              <w:rPr>
                <w:rFonts w:ascii="Arial" w:eastAsia="Times New Roman" w:hAnsi="Arial" w:cs="Arial"/>
                <w:lang w:val="nl-NL"/>
              </w:rPr>
              <w:t>Gerechtvaardigde overschrijdingen van een partiële begrotingsdoelstelling zijn overschrijdingen die ontstaan door externe factoren waar de sector geen controle over heeft</w:t>
            </w:r>
            <w:r w:rsidR="0051721B" w:rsidRPr="00671DC6">
              <w:rPr>
                <w:lang w:val="nl-NL"/>
              </w:rPr>
              <w:t xml:space="preserve"> </w:t>
            </w:r>
            <w:r w:rsidR="0051721B" w:rsidRPr="00671DC6">
              <w:rPr>
                <w:rFonts w:ascii="Arial" w:eastAsia="Times New Roman" w:hAnsi="Arial" w:cs="Arial"/>
                <w:lang w:val="nl-NL"/>
              </w:rPr>
              <w:t>of gewenst beleid binnen een sector dat een onvoorziene uitgavendynamiek genereert</w:t>
            </w:r>
            <w:r w:rsidR="00477C89" w:rsidRPr="00671DC6">
              <w:rPr>
                <w:rFonts w:ascii="Arial" w:eastAsia="Times New Roman" w:hAnsi="Arial" w:cs="Arial"/>
                <w:lang w:val="nl-NL"/>
              </w:rPr>
              <w:t>, zoals bijvoorbeeld een tijdelijke toename van het aantal raadplegingen van huisartsen ten gevolge van een vaccinatiecampagne waartoe beslist werd wegens de plotse uitbraak van een virus, of een preventiecampagne (op deelstatelijk niveau) dat leidt tot een forse verhoging van het aantal aan de verplichte ziekteverzekering gefactureerde opvolgverstrekkingen (bvb. de campagne darmkankerscreening heeft geleid tot een stijging van de uitgaven voor gastro-enterologie).</w:t>
            </w:r>
          </w:p>
        </w:tc>
      </w:tr>
      <w:tr w:rsidR="004722CA" w:rsidRPr="00A827F1" w14:paraId="5AC1161F" w14:textId="77777777" w:rsidTr="005F50EE">
        <w:tc>
          <w:tcPr>
            <w:tcW w:w="5104" w:type="dxa"/>
          </w:tcPr>
          <w:p w14:paraId="5B541CD6" w14:textId="77777777" w:rsidR="004722CA" w:rsidRPr="00B75D30"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44E3304F" w14:textId="77777777" w:rsidR="004722CA" w:rsidRPr="00B75D30" w:rsidRDefault="004722CA" w:rsidP="009A3C5E">
            <w:pPr>
              <w:tabs>
                <w:tab w:val="left" w:pos="2925"/>
              </w:tabs>
              <w:spacing w:after="0" w:line="240" w:lineRule="auto"/>
              <w:jc w:val="both"/>
              <w:rPr>
                <w:rFonts w:ascii="Arial" w:hAnsi="Arial" w:cs="Arial"/>
                <w:lang w:val="nl-NL"/>
              </w:rPr>
            </w:pPr>
          </w:p>
        </w:tc>
      </w:tr>
      <w:tr w:rsidR="004722CA" w:rsidRPr="0016610C" w14:paraId="024F8A6B" w14:textId="77777777" w:rsidTr="005F50EE">
        <w:tc>
          <w:tcPr>
            <w:tcW w:w="5104" w:type="dxa"/>
          </w:tcPr>
          <w:p w14:paraId="0E5218C5" w14:textId="77777777"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p>
        </w:tc>
        <w:tc>
          <w:tcPr>
            <w:tcW w:w="5104" w:type="dxa"/>
          </w:tcPr>
          <w:p w14:paraId="7E8D0040" w14:textId="77777777" w:rsidR="004722CA" w:rsidRPr="0016610C" w:rsidRDefault="004722CA" w:rsidP="009A3C5E">
            <w:pPr>
              <w:tabs>
                <w:tab w:val="left" w:pos="4468"/>
                <w:tab w:val="left" w:pos="5643"/>
                <w:tab w:val="left" w:pos="9747"/>
              </w:tabs>
              <w:spacing w:after="0" w:line="240" w:lineRule="auto"/>
              <w:jc w:val="center"/>
              <w:rPr>
                <w:rFonts w:ascii="Arial" w:hAnsi="Arial" w:cs="Arial"/>
                <w:b/>
                <w:bCs/>
                <w:lang w:val="de-DE"/>
              </w:rPr>
            </w:pPr>
            <w:r w:rsidRPr="0016610C">
              <w:rPr>
                <w:rFonts w:ascii="Arial" w:hAnsi="Arial" w:cs="Arial"/>
                <w:b/>
                <w:bCs/>
                <w:lang w:val="de-DE"/>
              </w:rPr>
              <w:t xml:space="preserve">Art. X </w:t>
            </w:r>
          </w:p>
        </w:tc>
      </w:tr>
      <w:tr w:rsidR="004722CA" w:rsidRPr="0016610C" w14:paraId="44BAE8DB" w14:textId="77777777" w:rsidTr="005F50EE">
        <w:tc>
          <w:tcPr>
            <w:tcW w:w="5104" w:type="dxa"/>
          </w:tcPr>
          <w:p w14:paraId="172B06B3" w14:textId="77777777" w:rsidR="004722CA" w:rsidRPr="0016610C" w:rsidRDefault="004722CA" w:rsidP="009A3C5E">
            <w:pPr>
              <w:tabs>
                <w:tab w:val="left" w:pos="4468"/>
                <w:tab w:val="left" w:pos="5643"/>
                <w:tab w:val="left" w:pos="9747"/>
              </w:tabs>
              <w:spacing w:after="0" w:line="240" w:lineRule="auto"/>
              <w:jc w:val="both"/>
              <w:rPr>
                <w:rFonts w:ascii="Arial" w:hAnsi="Arial" w:cs="Arial"/>
                <w:lang w:val="de-DE"/>
              </w:rPr>
            </w:pPr>
          </w:p>
        </w:tc>
        <w:tc>
          <w:tcPr>
            <w:tcW w:w="5104" w:type="dxa"/>
          </w:tcPr>
          <w:p w14:paraId="68ACB57A" w14:textId="77777777" w:rsidR="004722CA" w:rsidRPr="0016610C" w:rsidRDefault="004722CA" w:rsidP="009A3C5E">
            <w:pPr>
              <w:tabs>
                <w:tab w:val="left" w:pos="4468"/>
                <w:tab w:val="left" w:pos="5643"/>
                <w:tab w:val="left" w:pos="9747"/>
              </w:tabs>
              <w:spacing w:after="0" w:line="240" w:lineRule="auto"/>
              <w:jc w:val="center"/>
              <w:rPr>
                <w:rFonts w:ascii="Arial" w:hAnsi="Arial" w:cs="Arial"/>
                <w:lang w:val="de-DE"/>
              </w:rPr>
            </w:pPr>
          </w:p>
        </w:tc>
      </w:tr>
      <w:tr w:rsidR="004722CA" w:rsidRPr="00A827F1" w14:paraId="50BE82CF" w14:textId="77777777" w:rsidTr="005F50EE">
        <w:tc>
          <w:tcPr>
            <w:tcW w:w="5104" w:type="dxa"/>
          </w:tcPr>
          <w:p w14:paraId="5183E3BD" w14:textId="4355141D" w:rsidR="004722CA" w:rsidRPr="00BE7B53" w:rsidRDefault="00BE7B53" w:rsidP="009A3C5E">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Dans les compétences du Conseil général, telles que prévues au paragraphe 1</w:t>
            </w:r>
            <w:r w:rsidRPr="00AE33D3">
              <w:rPr>
                <w:rFonts w:ascii="Arial" w:hAnsi="Arial" w:cs="Arial"/>
                <w:vertAlign w:val="superscript"/>
                <w:lang w:val="fr-FR"/>
              </w:rPr>
              <w:t>er</w:t>
            </w:r>
            <w:r w:rsidRPr="00BE7B53">
              <w:rPr>
                <w:rFonts w:ascii="Arial" w:hAnsi="Arial" w:cs="Arial"/>
                <w:lang w:val="fr-FR"/>
              </w:rPr>
              <w:t xml:space="preserve"> du présent article, les dispositions suivantes sont modifiées :</w:t>
            </w:r>
          </w:p>
        </w:tc>
        <w:tc>
          <w:tcPr>
            <w:tcW w:w="5104" w:type="dxa"/>
          </w:tcPr>
          <w:p w14:paraId="4BC49CC1"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r w:rsidRPr="0016610C">
              <w:rPr>
                <w:rFonts w:ascii="Arial" w:hAnsi="Arial" w:cs="Arial"/>
                <w:lang w:val="nl-NL"/>
              </w:rPr>
              <w:t>In de bevoegdheden van de Algemene Raad zoals bepaald in paragraaf 1 van dit artikel wordt het volgende gewijzigd:</w:t>
            </w:r>
          </w:p>
        </w:tc>
      </w:tr>
      <w:tr w:rsidR="004722CA" w:rsidRPr="00A827F1" w14:paraId="751A92FC" w14:textId="77777777" w:rsidTr="005F50EE">
        <w:tc>
          <w:tcPr>
            <w:tcW w:w="5104" w:type="dxa"/>
          </w:tcPr>
          <w:p w14:paraId="37AD3237"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0A6C3ADB"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1C034BD4" w14:textId="77777777" w:rsidTr="005F50EE">
        <w:tc>
          <w:tcPr>
            <w:tcW w:w="5104" w:type="dxa"/>
          </w:tcPr>
          <w:p w14:paraId="1785CCEE" w14:textId="0D39AF08" w:rsidR="004722CA" w:rsidRPr="00BE7B53"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BE7B53">
              <w:rPr>
                <w:rFonts w:ascii="Arial" w:hAnsi="Arial" w:cs="Arial"/>
                <w:lang w:val="fr-FR"/>
              </w:rPr>
              <w:t xml:space="preserve">la compétence du Conseil général au point 7° pour </w:t>
            </w:r>
            <w:r w:rsidR="00DF011E">
              <w:rPr>
                <w:rFonts w:ascii="Arial" w:hAnsi="Arial" w:cs="Arial"/>
                <w:lang w:val="fr-FR"/>
              </w:rPr>
              <w:t>décider si</w:t>
            </w:r>
            <w:r w:rsidR="00DF011E" w:rsidRPr="00BE7B53">
              <w:rPr>
                <w:rFonts w:ascii="Arial" w:hAnsi="Arial" w:cs="Arial"/>
                <w:lang w:val="fr-FR"/>
              </w:rPr>
              <w:t xml:space="preserve"> </w:t>
            </w:r>
            <w:r w:rsidRPr="00BE7B53">
              <w:rPr>
                <w:rFonts w:ascii="Arial" w:hAnsi="Arial" w:cs="Arial"/>
                <w:lang w:val="fr-FR"/>
              </w:rPr>
              <w:t xml:space="preserve">les nouveaux accords nationaux qui sont soumis à l’approbation du Comité de l’assurance </w:t>
            </w:r>
            <w:r w:rsidR="00DA278F" w:rsidRPr="00AE6F10">
              <w:rPr>
                <w:rFonts w:ascii="Arial" w:eastAsia="Times New Roman" w:hAnsi="Arial" w:cs="Arial"/>
                <w:lang w:val="fr-FR"/>
              </w:rPr>
              <w:t>ou des documents établis par le Comité de l’assurance ou le Ministre</w:t>
            </w:r>
            <w:r w:rsidR="00DA278F" w:rsidRPr="00BE7B53">
              <w:rPr>
                <w:rFonts w:ascii="Arial" w:hAnsi="Arial" w:cs="Arial"/>
                <w:lang w:val="fr-FR"/>
              </w:rPr>
              <w:t xml:space="preserve"> </w:t>
            </w:r>
            <w:r w:rsidR="00DF011E">
              <w:rPr>
                <w:rFonts w:ascii="Arial" w:hAnsi="Arial" w:cs="Arial"/>
                <w:lang w:val="fr-FR"/>
              </w:rPr>
              <w:t>sont conformes</w:t>
            </w:r>
            <w:r w:rsidRPr="00BE7B53">
              <w:rPr>
                <w:rFonts w:ascii="Arial" w:hAnsi="Arial" w:cs="Arial"/>
                <w:lang w:val="fr-FR"/>
              </w:rPr>
              <w:t xml:space="preserve"> avec le prochain budget (et plus spécifiquement les objectifs budgétaires partiels pertinents) est complétée par la compétence de </w:t>
            </w:r>
            <w:r w:rsidR="00DF011E">
              <w:rPr>
                <w:rFonts w:ascii="Arial" w:hAnsi="Arial" w:cs="Arial"/>
                <w:lang w:val="fr-FR"/>
              </w:rPr>
              <w:t>décider également si</w:t>
            </w:r>
            <w:r w:rsidR="00DF011E" w:rsidRPr="00BE7B53">
              <w:rPr>
                <w:rFonts w:ascii="Arial" w:hAnsi="Arial" w:cs="Arial"/>
                <w:lang w:val="fr-FR"/>
              </w:rPr>
              <w:t xml:space="preserve"> </w:t>
            </w:r>
            <w:r w:rsidRPr="00BE7B53">
              <w:rPr>
                <w:rFonts w:ascii="Arial" w:hAnsi="Arial" w:cs="Arial"/>
                <w:lang w:val="fr-FR"/>
              </w:rPr>
              <w:t xml:space="preserve">les accords nationaux encore en cours (y compris </w:t>
            </w:r>
            <w:r w:rsidR="00477C89">
              <w:rPr>
                <w:rFonts w:ascii="Arial" w:hAnsi="Arial" w:cs="Arial"/>
                <w:lang w:val="fr-FR"/>
              </w:rPr>
              <w:t>en cas de prolongation ou pour d</w:t>
            </w:r>
            <w:r w:rsidRPr="00BE7B53">
              <w:rPr>
                <w:rFonts w:ascii="Arial" w:hAnsi="Arial" w:cs="Arial"/>
                <w:lang w:val="fr-FR"/>
              </w:rPr>
              <w:t xml:space="preserve">es avenants  existants) </w:t>
            </w:r>
            <w:r w:rsidR="00DF011E">
              <w:rPr>
                <w:rFonts w:ascii="Arial" w:hAnsi="Arial" w:cs="Arial"/>
                <w:lang w:val="fr-FR"/>
              </w:rPr>
              <w:t>sont conformes</w:t>
            </w:r>
            <w:r w:rsidRPr="00BE7B53">
              <w:rPr>
                <w:rFonts w:ascii="Arial" w:hAnsi="Arial" w:cs="Arial"/>
                <w:lang w:val="fr-FR"/>
              </w:rPr>
              <w:t xml:space="preserve"> </w:t>
            </w:r>
            <w:r w:rsidR="00754079">
              <w:rPr>
                <w:rFonts w:ascii="Arial" w:hAnsi="Arial" w:cs="Arial"/>
                <w:lang w:val="fr-FR"/>
              </w:rPr>
              <w:t>au</w:t>
            </w:r>
            <w:r w:rsidRPr="00BE7B53">
              <w:rPr>
                <w:rFonts w:ascii="Arial" w:hAnsi="Arial" w:cs="Arial"/>
                <w:lang w:val="fr-FR"/>
              </w:rPr>
              <w:t xml:space="preserve"> budget adopté dans l’intervalle  (et, plus spécifiquement, </w:t>
            </w:r>
            <w:r w:rsidR="00754079">
              <w:rPr>
                <w:rFonts w:ascii="Arial" w:hAnsi="Arial" w:cs="Arial"/>
                <w:lang w:val="fr-FR"/>
              </w:rPr>
              <w:t>aux</w:t>
            </w:r>
            <w:r w:rsidR="00754079" w:rsidRPr="00BE7B53">
              <w:rPr>
                <w:rFonts w:ascii="Arial" w:hAnsi="Arial" w:cs="Arial"/>
                <w:lang w:val="fr-FR"/>
              </w:rPr>
              <w:t xml:space="preserve"> </w:t>
            </w:r>
            <w:r w:rsidRPr="00BE7B53">
              <w:rPr>
                <w:rFonts w:ascii="Arial" w:hAnsi="Arial" w:cs="Arial"/>
                <w:lang w:val="fr-FR"/>
              </w:rPr>
              <w:t>objectifs budgétaires partiels pertinents) ;</w:t>
            </w:r>
          </w:p>
        </w:tc>
        <w:tc>
          <w:tcPr>
            <w:tcW w:w="5104" w:type="dxa"/>
          </w:tcPr>
          <w:p w14:paraId="031371D9" w14:textId="0930F19F" w:rsidR="004722CA" w:rsidRPr="00C45BA8" w:rsidRDefault="004722CA" w:rsidP="004722CA">
            <w:pPr>
              <w:pStyle w:val="Lijstalinea"/>
              <w:numPr>
                <w:ilvl w:val="0"/>
                <w:numId w:val="4"/>
              </w:numPr>
              <w:tabs>
                <w:tab w:val="left" w:pos="4468"/>
                <w:tab w:val="left" w:pos="5643"/>
                <w:tab w:val="left" w:pos="9747"/>
              </w:tabs>
              <w:spacing w:after="0" w:line="240" w:lineRule="auto"/>
              <w:ind w:left="250" w:hanging="142"/>
              <w:jc w:val="both"/>
              <w:rPr>
                <w:rFonts w:ascii="Arial" w:hAnsi="Arial" w:cs="Arial"/>
                <w:lang w:val="nl-NL"/>
              </w:rPr>
            </w:pPr>
            <w:r w:rsidRPr="0016610C">
              <w:rPr>
                <w:rFonts w:ascii="Arial" w:hAnsi="Arial" w:cs="Arial"/>
                <w:lang w:val="nl-NL"/>
              </w:rPr>
              <w:t xml:space="preserve">de bevoegdheid van de Algemene Raad in 7° om </w:t>
            </w:r>
            <w:r w:rsidR="00DF011E">
              <w:rPr>
                <w:rFonts w:ascii="Arial" w:hAnsi="Arial" w:cs="Arial"/>
                <w:lang w:val="nl-NL"/>
              </w:rPr>
              <w:t xml:space="preserve">te beslissen of </w:t>
            </w:r>
            <w:r w:rsidRPr="0016610C">
              <w:rPr>
                <w:rFonts w:ascii="Arial" w:hAnsi="Arial" w:cs="Arial"/>
                <w:lang w:val="nl-NL"/>
              </w:rPr>
              <w:t xml:space="preserve">de nieuwe </w:t>
            </w:r>
            <w:r>
              <w:rPr>
                <w:rFonts w:ascii="Arial" w:hAnsi="Arial" w:cs="Arial"/>
                <w:lang w:val="nl-NL"/>
              </w:rPr>
              <w:t xml:space="preserve">nationale </w:t>
            </w:r>
            <w:r w:rsidRPr="0016610C">
              <w:rPr>
                <w:rFonts w:ascii="Arial" w:hAnsi="Arial" w:cs="Arial"/>
                <w:lang w:val="nl-NL"/>
              </w:rPr>
              <w:t xml:space="preserve">akkoorden die ter goedkeuring voorliggen aan het Verzekeringscomité </w:t>
            </w:r>
            <w:r w:rsidR="00964430" w:rsidRPr="00964430">
              <w:rPr>
                <w:rFonts w:ascii="Arial" w:hAnsi="Arial" w:cs="Arial"/>
                <w:lang w:val="nl-NL"/>
              </w:rPr>
              <w:t xml:space="preserve">of de documenten die worden vastgesteld door het Verzekeringscomité of de Minister </w:t>
            </w:r>
            <w:r w:rsidRPr="0016610C">
              <w:rPr>
                <w:rFonts w:ascii="Arial" w:hAnsi="Arial" w:cs="Arial"/>
                <w:lang w:val="nl-NL"/>
              </w:rPr>
              <w:t xml:space="preserve">conform </w:t>
            </w:r>
            <w:r w:rsidR="00DF011E">
              <w:rPr>
                <w:rFonts w:ascii="Arial" w:hAnsi="Arial" w:cs="Arial"/>
                <w:lang w:val="nl-NL"/>
              </w:rPr>
              <w:t xml:space="preserve">zijn </w:t>
            </w:r>
            <w:r w:rsidRPr="0016610C">
              <w:rPr>
                <w:rFonts w:ascii="Arial" w:hAnsi="Arial" w:cs="Arial"/>
                <w:lang w:val="nl-NL"/>
              </w:rPr>
              <w:t xml:space="preserve">met de eerstvolgende begroting (en meer bepaald de betrokken partiële begrotingsdoelstellingen), wordt aangevuld met de bevoegdheid om </w:t>
            </w:r>
            <w:r w:rsidR="00DF011E">
              <w:rPr>
                <w:rFonts w:ascii="Arial" w:hAnsi="Arial" w:cs="Arial"/>
                <w:lang w:val="nl-NL"/>
              </w:rPr>
              <w:t xml:space="preserve">ook voor </w:t>
            </w:r>
            <w:r w:rsidRPr="0016610C">
              <w:rPr>
                <w:rFonts w:ascii="Arial" w:hAnsi="Arial" w:cs="Arial"/>
                <w:lang w:val="nl-NL"/>
              </w:rPr>
              <w:t xml:space="preserve">de nog doorlopende </w:t>
            </w:r>
            <w:r>
              <w:rPr>
                <w:rFonts w:ascii="Arial" w:hAnsi="Arial" w:cs="Arial"/>
                <w:lang w:val="nl-NL"/>
              </w:rPr>
              <w:t xml:space="preserve">nationale </w:t>
            </w:r>
            <w:r w:rsidRPr="0016610C">
              <w:rPr>
                <w:rFonts w:ascii="Arial" w:hAnsi="Arial" w:cs="Arial"/>
                <w:lang w:val="nl-NL"/>
              </w:rPr>
              <w:t xml:space="preserve">akkoorden (inclusief </w:t>
            </w:r>
            <w:r w:rsidR="00477C89">
              <w:rPr>
                <w:rFonts w:ascii="Arial" w:hAnsi="Arial" w:cs="Arial"/>
                <w:lang w:val="nl-NL"/>
              </w:rPr>
              <w:t xml:space="preserve">in geval van verlenging of voor </w:t>
            </w:r>
            <w:r w:rsidRPr="0016610C">
              <w:rPr>
                <w:rFonts w:ascii="Arial" w:hAnsi="Arial" w:cs="Arial"/>
                <w:lang w:val="nl-NL"/>
              </w:rPr>
              <w:t xml:space="preserve">bestaande wijzigingsclausules) te </w:t>
            </w:r>
            <w:r w:rsidR="00DF011E">
              <w:rPr>
                <w:rFonts w:ascii="Arial" w:hAnsi="Arial" w:cs="Arial"/>
                <w:lang w:val="nl-NL"/>
              </w:rPr>
              <w:t>beslissen of deze</w:t>
            </w:r>
            <w:r w:rsidR="00DF011E" w:rsidRPr="0016610C">
              <w:rPr>
                <w:rFonts w:ascii="Arial" w:hAnsi="Arial" w:cs="Arial"/>
                <w:lang w:val="nl-NL"/>
              </w:rPr>
              <w:t xml:space="preserve"> </w:t>
            </w:r>
            <w:r w:rsidRPr="0016610C">
              <w:rPr>
                <w:rFonts w:ascii="Arial" w:hAnsi="Arial" w:cs="Arial"/>
                <w:lang w:val="nl-NL"/>
              </w:rPr>
              <w:t xml:space="preserve">conform </w:t>
            </w:r>
            <w:r w:rsidR="00DF011E">
              <w:rPr>
                <w:rFonts w:ascii="Arial" w:hAnsi="Arial" w:cs="Arial"/>
                <w:lang w:val="nl-NL"/>
              </w:rPr>
              <w:t xml:space="preserve">zijn </w:t>
            </w:r>
            <w:r w:rsidRPr="0016610C">
              <w:rPr>
                <w:rFonts w:ascii="Arial" w:hAnsi="Arial" w:cs="Arial"/>
                <w:lang w:val="nl-NL"/>
              </w:rPr>
              <w:t xml:space="preserve">met de ondertussen vastgestelde eerstvolgende begroting (en meer bepaald de betrokken partiële begrotingsdoelstellingen); </w:t>
            </w:r>
          </w:p>
        </w:tc>
      </w:tr>
      <w:tr w:rsidR="004722CA" w:rsidRPr="00A827F1" w14:paraId="66E20814" w14:textId="77777777" w:rsidTr="005F50EE">
        <w:tc>
          <w:tcPr>
            <w:tcW w:w="5104" w:type="dxa"/>
          </w:tcPr>
          <w:p w14:paraId="4580CE1F"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79705E63" w14:textId="77777777" w:rsidR="004722CA" w:rsidRPr="00EE6F91" w:rsidRDefault="004722CA" w:rsidP="009A3C5E">
            <w:pPr>
              <w:tabs>
                <w:tab w:val="left" w:pos="4468"/>
                <w:tab w:val="left" w:pos="5643"/>
                <w:tab w:val="left" w:pos="9747"/>
              </w:tabs>
              <w:spacing w:after="0" w:line="240" w:lineRule="auto"/>
              <w:ind w:left="250" w:hanging="142"/>
              <w:jc w:val="both"/>
              <w:rPr>
                <w:rFonts w:ascii="Arial" w:hAnsi="Arial" w:cs="Arial"/>
                <w:lang w:val="nl-NL"/>
              </w:rPr>
            </w:pPr>
          </w:p>
        </w:tc>
      </w:tr>
      <w:tr w:rsidR="004722CA" w:rsidRPr="00A827F1" w14:paraId="29FC6476" w14:textId="77777777" w:rsidTr="005F50EE">
        <w:tc>
          <w:tcPr>
            <w:tcW w:w="5104" w:type="dxa"/>
          </w:tcPr>
          <w:p w14:paraId="085CDAE2" w14:textId="35B21909" w:rsidR="004722CA" w:rsidRPr="00671DC6"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671DC6">
              <w:rPr>
                <w:rFonts w:ascii="Arial" w:hAnsi="Arial" w:cs="Arial"/>
                <w:lang w:val="fr-FR"/>
              </w:rPr>
              <w:t xml:space="preserve">la disposition au point 12° est modifiée pour préciser que le Conseil général peut toujours décider de recourir aux mesures et mécanismes </w:t>
            </w:r>
            <w:r w:rsidRPr="00671DC6">
              <w:rPr>
                <w:rFonts w:ascii="Arial" w:hAnsi="Arial" w:cs="Arial"/>
                <w:lang w:val="fr-FR"/>
              </w:rPr>
              <w:lastRenderedPageBreak/>
              <w:t xml:space="preserve">juridiques existants relatifs aux objectifs budgétaires partiels lorsqu’il est constaté </w:t>
            </w:r>
            <w:r w:rsidR="00E80604" w:rsidRPr="00671DC6">
              <w:rPr>
                <w:rFonts w:ascii="Arial" w:hAnsi="Arial" w:cs="Arial"/>
                <w:lang w:val="fr-FR"/>
              </w:rPr>
              <w:t>que</w:t>
            </w:r>
            <w:r w:rsidRPr="00671DC6">
              <w:rPr>
                <w:rFonts w:ascii="Arial" w:hAnsi="Arial" w:cs="Arial"/>
                <w:lang w:val="fr-FR"/>
              </w:rPr>
              <w:t xml:space="preserve"> l’objectif budgétaire global de l’année en cours</w:t>
            </w:r>
            <w:r w:rsidR="00E80604" w:rsidRPr="00671DC6">
              <w:rPr>
                <w:rFonts w:ascii="Arial" w:hAnsi="Arial" w:cs="Arial"/>
                <w:lang w:val="fr-FR"/>
              </w:rPr>
              <w:t xml:space="preserve"> risque d’être dépassé</w:t>
            </w:r>
            <w:r w:rsidR="00E94D80" w:rsidRPr="00671DC6">
              <w:rPr>
                <w:rFonts w:ascii="Arial" w:hAnsi="Arial" w:cs="Arial"/>
                <w:lang w:val="fr-FR"/>
              </w:rPr>
              <w:t xml:space="preserve"> de manière </w:t>
            </w:r>
            <w:r w:rsidR="00797C61" w:rsidRPr="00671DC6">
              <w:rPr>
                <w:rFonts w:ascii="Arial" w:hAnsi="Arial" w:cs="Arial"/>
                <w:lang w:val="fr-FR"/>
              </w:rPr>
              <w:t xml:space="preserve">significativement </w:t>
            </w:r>
            <w:r w:rsidR="001C1FB4" w:rsidRPr="00671DC6">
              <w:rPr>
                <w:rFonts w:ascii="Arial" w:hAnsi="Arial" w:cs="Arial"/>
                <w:lang w:val="fr-FR"/>
              </w:rPr>
              <w:t xml:space="preserve">non </w:t>
            </w:r>
            <w:r w:rsidR="00E94D80" w:rsidRPr="00671DC6">
              <w:rPr>
                <w:rFonts w:ascii="Arial" w:hAnsi="Arial" w:cs="Arial"/>
                <w:lang w:val="fr-FR"/>
              </w:rPr>
              <w:t>justifiée</w:t>
            </w:r>
            <w:r w:rsidRPr="00671DC6">
              <w:rPr>
                <w:rFonts w:ascii="Arial" w:hAnsi="Arial" w:cs="Arial"/>
                <w:lang w:val="fr-FR"/>
              </w:rPr>
              <w:t>.</w:t>
            </w:r>
          </w:p>
        </w:tc>
        <w:tc>
          <w:tcPr>
            <w:tcW w:w="5104" w:type="dxa"/>
          </w:tcPr>
          <w:p w14:paraId="6D45CDFD" w14:textId="0C77318F" w:rsidR="004722CA" w:rsidRPr="00671DC6" w:rsidRDefault="004722CA" w:rsidP="004722CA">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1DC6">
              <w:rPr>
                <w:rFonts w:ascii="Arial" w:hAnsi="Arial" w:cs="Arial"/>
                <w:lang w:val="nl-NL"/>
              </w:rPr>
              <w:lastRenderedPageBreak/>
              <w:t xml:space="preserve">de bepaling bij 12° wordt gewijzigd met als doel te verduidelijken dat de Algemene Raad steeds kan beslissen om de bestaande wettelijke </w:t>
            </w:r>
            <w:r w:rsidRPr="00671DC6">
              <w:rPr>
                <w:rFonts w:ascii="Arial" w:hAnsi="Arial" w:cs="Arial"/>
                <w:lang w:val="nl-NL"/>
              </w:rPr>
              <w:lastRenderedPageBreak/>
              <w:t>maatregelen en mechanismen met betrekking tot partiële begrotingsdoelstellingen te gebruiken wanneer wordt vastgesteld dat de globale begrotingsdoelstelling van het lopende jaar dreigt overschreden te worden</w:t>
            </w:r>
            <w:r w:rsidR="00E94D80" w:rsidRPr="00671DC6">
              <w:rPr>
                <w:rFonts w:ascii="Arial" w:hAnsi="Arial" w:cs="Arial"/>
                <w:lang w:val="nl-NL"/>
              </w:rPr>
              <w:t xml:space="preserve"> op </w:t>
            </w:r>
            <w:r w:rsidR="00544355" w:rsidRPr="00671DC6">
              <w:rPr>
                <w:rFonts w:ascii="Arial" w:eastAsia="Times New Roman" w:hAnsi="Arial" w:cs="Arial"/>
                <w:lang w:val="nl-NL"/>
              </w:rPr>
              <w:t xml:space="preserve">beduidende </w:t>
            </w:r>
            <w:r w:rsidR="00E94D80" w:rsidRPr="00671DC6">
              <w:rPr>
                <w:rFonts w:ascii="Arial" w:hAnsi="Arial" w:cs="Arial"/>
                <w:lang w:val="nl-NL"/>
              </w:rPr>
              <w:t>niet</w:t>
            </w:r>
            <w:r w:rsidR="00D83D55" w:rsidRPr="00671DC6">
              <w:rPr>
                <w:rFonts w:ascii="Arial" w:hAnsi="Arial" w:cs="Arial"/>
                <w:lang w:val="nl-NL"/>
              </w:rPr>
              <w:t xml:space="preserve"> gerechtvaardigde</w:t>
            </w:r>
            <w:r w:rsidR="00E94D80" w:rsidRPr="00671DC6">
              <w:rPr>
                <w:rFonts w:ascii="Arial" w:hAnsi="Arial" w:cs="Arial"/>
                <w:lang w:val="nl-NL"/>
              </w:rPr>
              <w:t xml:space="preserve"> wijze</w:t>
            </w:r>
            <w:r w:rsidRPr="00671DC6">
              <w:rPr>
                <w:rFonts w:ascii="Arial" w:hAnsi="Arial" w:cs="Arial"/>
                <w:lang w:val="nl-NL"/>
              </w:rPr>
              <w:t>.</w:t>
            </w:r>
          </w:p>
        </w:tc>
      </w:tr>
      <w:tr w:rsidR="004722CA" w:rsidRPr="00A827F1" w14:paraId="0C14E0B6" w14:textId="77777777" w:rsidTr="005F50EE">
        <w:tc>
          <w:tcPr>
            <w:tcW w:w="5104" w:type="dxa"/>
          </w:tcPr>
          <w:p w14:paraId="52A6DEF4"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66C4198B"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EE6F91" w14:paraId="5FED0BC3" w14:textId="77777777" w:rsidTr="005F50EE">
        <w:tc>
          <w:tcPr>
            <w:tcW w:w="5104" w:type="dxa"/>
          </w:tcPr>
          <w:p w14:paraId="17FD5939" w14:textId="22F2380A"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sidR="00B94499">
              <w:rPr>
                <w:rFonts w:ascii="Arial" w:hAnsi="Arial" w:cs="Arial"/>
                <w:b/>
                <w:bCs/>
                <w:lang w:val="nl-NL"/>
              </w:rPr>
              <w:t>+1</w:t>
            </w:r>
          </w:p>
        </w:tc>
        <w:tc>
          <w:tcPr>
            <w:tcW w:w="5104" w:type="dxa"/>
          </w:tcPr>
          <w:p w14:paraId="6D548E89" w14:textId="0B209E32"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sidR="00B94499">
              <w:rPr>
                <w:rFonts w:ascii="Arial" w:hAnsi="Arial" w:cs="Arial"/>
                <w:b/>
                <w:bCs/>
                <w:lang w:val="nl-NL"/>
              </w:rPr>
              <w:t>+1</w:t>
            </w:r>
          </w:p>
        </w:tc>
      </w:tr>
      <w:tr w:rsidR="004722CA" w:rsidRPr="00EE6F91" w14:paraId="5BFFE007" w14:textId="77777777" w:rsidTr="005F50EE">
        <w:tc>
          <w:tcPr>
            <w:tcW w:w="5104" w:type="dxa"/>
          </w:tcPr>
          <w:p w14:paraId="20EC8752"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2D100E43"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7A81B7BB" w14:textId="77777777" w:rsidTr="005F50EE">
        <w:tc>
          <w:tcPr>
            <w:tcW w:w="5104" w:type="dxa"/>
          </w:tcPr>
          <w:p w14:paraId="02425586" w14:textId="4D76CBA5" w:rsidR="004722CA" w:rsidRPr="00BE7B53" w:rsidRDefault="00BE7B53" w:rsidP="009A3C5E">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Les modifications dans cet a</w:t>
            </w:r>
            <w:r>
              <w:rPr>
                <w:rFonts w:ascii="Arial" w:hAnsi="Arial" w:cs="Arial"/>
                <w:lang w:val="fr-FR"/>
              </w:rPr>
              <w:t>rticle prévoient que :</w:t>
            </w:r>
          </w:p>
        </w:tc>
        <w:tc>
          <w:tcPr>
            <w:tcW w:w="5104" w:type="dxa"/>
          </w:tcPr>
          <w:p w14:paraId="45D79526"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r w:rsidRPr="0016610C">
              <w:rPr>
                <w:rFonts w:ascii="Arial" w:hAnsi="Arial" w:cs="Arial"/>
                <w:lang w:val="nl-NL"/>
              </w:rPr>
              <w:t xml:space="preserve">De wijzigingen in dit artikel voorzien erin dat: </w:t>
            </w:r>
          </w:p>
        </w:tc>
      </w:tr>
      <w:tr w:rsidR="004722CA" w:rsidRPr="00A827F1" w14:paraId="3827BD23" w14:textId="77777777" w:rsidTr="005F50EE">
        <w:tc>
          <w:tcPr>
            <w:tcW w:w="5104" w:type="dxa"/>
          </w:tcPr>
          <w:p w14:paraId="5D728B79"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0E5D9B9E" w14:textId="77777777" w:rsidR="004722CA" w:rsidRPr="0016610C"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2DBE1EDE" w14:textId="77777777" w:rsidTr="005F50EE">
        <w:tc>
          <w:tcPr>
            <w:tcW w:w="5104" w:type="dxa"/>
          </w:tcPr>
          <w:p w14:paraId="678FBF27" w14:textId="53B4F2C5" w:rsidR="004722CA" w:rsidRPr="00BE7B53"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BE7B53">
              <w:rPr>
                <w:rFonts w:ascii="Arial" w:hAnsi="Arial" w:cs="Arial"/>
                <w:lang w:val="fr-FR"/>
              </w:rPr>
              <w:t>la Commission de contrôle budgétaire prend également en considération dans son avis</w:t>
            </w:r>
            <w:r w:rsidR="00466DED">
              <w:rPr>
                <w:rFonts w:ascii="Arial" w:hAnsi="Arial" w:cs="Arial"/>
                <w:lang w:val="fr-FR"/>
              </w:rPr>
              <w:t xml:space="preserve"> sur</w:t>
            </w:r>
            <w:r w:rsidRPr="00BE7B53">
              <w:rPr>
                <w:rFonts w:ascii="Arial" w:hAnsi="Arial" w:cs="Arial"/>
                <w:lang w:val="fr-FR"/>
              </w:rPr>
              <w:t xml:space="preserve"> la proposition </w:t>
            </w:r>
            <w:r w:rsidR="00466DED">
              <w:rPr>
                <w:rFonts w:ascii="Arial" w:hAnsi="Arial" w:cs="Arial"/>
                <w:lang w:val="fr-FR"/>
              </w:rPr>
              <w:t xml:space="preserve">d’objectif budgétaire </w:t>
            </w:r>
            <w:r w:rsidRPr="00BE7B53">
              <w:rPr>
                <w:rFonts w:ascii="Arial" w:hAnsi="Arial" w:cs="Arial"/>
                <w:lang w:val="fr-FR"/>
              </w:rPr>
              <w:t>du Comité de l’assurance:</w:t>
            </w:r>
          </w:p>
        </w:tc>
        <w:tc>
          <w:tcPr>
            <w:tcW w:w="5104" w:type="dxa"/>
          </w:tcPr>
          <w:p w14:paraId="10A53A66" w14:textId="77777777" w:rsidR="004722CA" w:rsidRPr="006724F7" w:rsidRDefault="004722CA" w:rsidP="004722CA">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16610C">
              <w:rPr>
                <w:rFonts w:ascii="Arial" w:hAnsi="Arial" w:cs="Arial"/>
                <w:lang w:val="nl-NL"/>
              </w:rPr>
              <w:t>de Commissie voor begrotingscontrole in diens advies op het voorstel van begrotingsdoelstelling van het Verzekeringscomité ook rekening dient te houden met:</w:t>
            </w:r>
          </w:p>
        </w:tc>
      </w:tr>
      <w:tr w:rsidR="004722CA" w:rsidRPr="00A827F1" w14:paraId="5F521088" w14:textId="77777777" w:rsidTr="005F50EE">
        <w:tc>
          <w:tcPr>
            <w:tcW w:w="5104" w:type="dxa"/>
          </w:tcPr>
          <w:p w14:paraId="71B2ECE2"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783689D1" w14:textId="77777777" w:rsidR="004722CA" w:rsidRPr="0016610C"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3D174F4B" w14:textId="77777777" w:rsidTr="005F50EE">
        <w:tc>
          <w:tcPr>
            <w:tcW w:w="5104" w:type="dxa"/>
          </w:tcPr>
          <w:p w14:paraId="6A512A1D" w14:textId="5FD255C4" w:rsidR="004722CA" w:rsidRPr="009B50C8" w:rsidRDefault="00BE7B53" w:rsidP="00BE7B53">
            <w:pPr>
              <w:pStyle w:val="Lijstalinea"/>
              <w:numPr>
                <w:ilvl w:val="0"/>
                <w:numId w:val="5"/>
              </w:numPr>
              <w:tabs>
                <w:tab w:val="left" w:pos="4468"/>
                <w:tab w:val="left" w:pos="5643"/>
                <w:tab w:val="left" w:pos="9747"/>
              </w:tabs>
              <w:spacing w:after="0" w:line="240" w:lineRule="auto"/>
              <w:ind w:left="534" w:hanging="283"/>
              <w:jc w:val="both"/>
              <w:rPr>
                <w:rFonts w:ascii="Arial" w:hAnsi="Arial" w:cs="Arial"/>
                <w:lang w:val="fr-FR"/>
              </w:rPr>
            </w:pPr>
            <w:r w:rsidRPr="00BE7B53">
              <w:rPr>
                <w:rFonts w:ascii="Arial" w:hAnsi="Arial" w:cs="Arial"/>
                <w:lang w:val="fr-FR"/>
              </w:rPr>
              <w:t xml:space="preserve">la conformité des accords nationaux existants (y compris </w:t>
            </w:r>
            <w:r w:rsidR="00477C89">
              <w:rPr>
                <w:rFonts w:ascii="Arial" w:hAnsi="Arial" w:cs="Arial"/>
                <w:lang w:val="fr-FR"/>
              </w:rPr>
              <w:t>en cas de prolongation ou pour d</w:t>
            </w:r>
            <w:r w:rsidRPr="00BE7B53">
              <w:rPr>
                <w:rFonts w:ascii="Arial" w:hAnsi="Arial" w:cs="Arial"/>
                <w:lang w:val="fr-FR"/>
              </w:rPr>
              <w:t xml:space="preserve">es avenants existants) qui restent encore en vigueur pendant l’exercice budgétaire –y compris les accords nationaux qui seraient renouvelés– avec cette proposition. </w:t>
            </w:r>
            <w:r w:rsidRPr="009B50C8">
              <w:rPr>
                <w:rFonts w:ascii="Arial" w:hAnsi="Arial" w:cs="Arial"/>
                <w:lang w:val="fr-FR"/>
              </w:rPr>
              <w:t>Ceci afin d’assurer la cohérence avec la mission du Conseil général prévue à l’article 16, 7° ;</w:t>
            </w:r>
          </w:p>
        </w:tc>
        <w:tc>
          <w:tcPr>
            <w:tcW w:w="5104" w:type="dxa"/>
          </w:tcPr>
          <w:p w14:paraId="46C98C47" w14:textId="2331371E" w:rsidR="004722CA" w:rsidRPr="006724F7" w:rsidRDefault="004722CA" w:rsidP="004722CA">
            <w:pPr>
              <w:pStyle w:val="Lijstalinea"/>
              <w:numPr>
                <w:ilvl w:val="0"/>
                <w:numId w:val="5"/>
              </w:numPr>
              <w:tabs>
                <w:tab w:val="left" w:pos="4468"/>
                <w:tab w:val="left" w:pos="5643"/>
                <w:tab w:val="left" w:pos="9747"/>
              </w:tabs>
              <w:spacing w:after="0" w:line="240" w:lineRule="auto"/>
              <w:ind w:left="534" w:hanging="283"/>
              <w:jc w:val="both"/>
              <w:rPr>
                <w:rFonts w:ascii="Arial" w:hAnsi="Arial" w:cs="Arial"/>
                <w:lang w:val="nl-NL"/>
              </w:rPr>
            </w:pPr>
            <w:r w:rsidRPr="006724F7">
              <w:rPr>
                <w:rFonts w:ascii="Arial" w:hAnsi="Arial" w:cs="Arial"/>
                <w:lang w:val="nl-NL"/>
              </w:rPr>
              <w:t>de conformiteit van de bestaande nationale akkoorden (</w:t>
            </w:r>
            <w:r w:rsidR="00477C89">
              <w:rPr>
                <w:rFonts w:ascii="Arial" w:hAnsi="Arial" w:cs="Arial"/>
                <w:lang w:val="nl-NL"/>
              </w:rPr>
              <w:t xml:space="preserve">inclusief in geval van verlenging of voor </w:t>
            </w:r>
            <w:r w:rsidRPr="006724F7">
              <w:rPr>
                <w:rFonts w:ascii="Arial" w:hAnsi="Arial" w:cs="Arial"/>
                <w:lang w:val="nl-NL"/>
              </w:rPr>
              <w:t xml:space="preserve">bestaande wijzigingsclausules) die nog blijven lopen tijdens het begrotingsjaar -inclusief </w:t>
            </w:r>
            <w:r>
              <w:rPr>
                <w:rFonts w:ascii="Arial" w:hAnsi="Arial" w:cs="Arial"/>
                <w:lang w:val="nl-NL"/>
              </w:rPr>
              <w:t xml:space="preserve">nationale </w:t>
            </w:r>
            <w:r w:rsidRPr="006724F7">
              <w:rPr>
                <w:rFonts w:ascii="Arial" w:hAnsi="Arial" w:cs="Arial"/>
                <w:lang w:val="nl-NL"/>
              </w:rPr>
              <w:t>akkoorden die verlengd zouden worden- met dat voorstel. Dit om coherentie te voorzien met de opdracht van de Algemene Raad voorzien in artikel 16, 7°;</w:t>
            </w:r>
          </w:p>
        </w:tc>
      </w:tr>
      <w:tr w:rsidR="004722CA" w:rsidRPr="00A827F1" w14:paraId="770B4FC8" w14:textId="77777777" w:rsidTr="005F50EE">
        <w:tc>
          <w:tcPr>
            <w:tcW w:w="5104" w:type="dxa"/>
          </w:tcPr>
          <w:p w14:paraId="4249BF5F"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223F7229" w14:textId="77777777" w:rsidR="004722CA" w:rsidRPr="0016610C"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6BEBB39E" w14:textId="77777777" w:rsidTr="005F50EE">
        <w:tc>
          <w:tcPr>
            <w:tcW w:w="5104" w:type="dxa"/>
          </w:tcPr>
          <w:p w14:paraId="0800910A" w14:textId="099369AD" w:rsidR="004722CA" w:rsidRPr="00BE7B53" w:rsidRDefault="00BE7B53" w:rsidP="00BE7B53">
            <w:pPr>
              <w:pStyle w:val="Lijstalinea"/>
              <w:numPr>
                <w:ilvl w:val="0"/>
                <w:numId w:val="5"/>
              </w:numPr>
              <w:tabs>
                <w:tab w:val="left" w:pos="4468"/>
                <w:tab w:val="left" w:pos="5643"/>
                <w:tab w:val="left" w:pos="9747"/>
              </w:tabs>
              <w:spacing w:after="0" w:line="240" w:lineRule="auto"/>
              <w:ind w:left="534" w:hanging="283"/>
              <w:jc w:val="both"/>
              <w:rPr>
                <w:rFonts w:ascii="Arial" w:hAnsi="Arial" w:cs="Arial"/>
                <w:lang w:val="fr-FR"/>
              </w:rPr>
            </w:pPr>
            <w:r w:rsidRPr="00BE7B53">
              <w:rPr>
                <w:rFonts w:ascii="Arial" w:hAnsi="Arial" w:cs="Arial"/>
                <w:lang w:val="fr-FR"/>
              </w:rPr>
              <w:t>et la lettre de mission du Conseil des ministres si elle a été émise à temps ;</w:t>
            </w:r>
          </w:p>
        </w:tc>
        <w:tc>
          <w:tcPr>
            <w:tcW w:w="5104" w:type="dxa"/>
          </w:tcPr>
          <w:p w14:paraId="18C8D6F8" w14:textId="5BDA4E90" w:rsidR="004722CA" w:rsidRPr="006724F7" w:rsidRDefault="004722CA" w:rsidP="004722CA">
            <w:pPr>
              <w:pStyle w:val="Lijstalinea"/>
              <w:numPr>
                <w:ilvl w:val="0"/>
                <w:numId w:val="5"/>
              </w:numPr>
              <w:tabs>
                <w:tab w:val="left" w:pos="4468"/>
                <w:tab w:val="left" w:pos="5643"/>
                <w:tab w:val="left" w:pos="9747"/>
              </w:tabs>
              <w:spacing w:after="0" w:line="240" w:lineRule="auto"/>
              <w:ind w:left="534" w:hanging="283"/>
              <w:jc w:val="both"/>
              <w:rPr>
                <w:rFonts w:ascii="Arial" w:hAnsi="Arial" w:cs="Arial"/>
                <w:lang w:val="nl-NL"/>
              </w:rPr>
            </w:pPr>
            <w:r w:rsidRPr="0016610C">
              <w:rPr>
                <w:rFonts w:ascii="Arial" w:hAnsi="Arial" w:cs="Arial"/>
                <w:lang w:val="nl-NL"/>
              </w:rPr>
              <w:t>én de opdrachtbrief van de Ministerraad indien die tijdig werd opgemaakt;</w:t>
            </w:r>
          </w:p>
        </w:tc>
      </w:tr>
      <w:tr w:rsidR="004722CA" w:rsidRPr="00A827F1" w14:paraId="375AC669" w14:textId="77777777" w:rsidTr="005F50EE">
        <w:tc>
          <w:tcPr>
            <w:tcW w:w="5104" w:type="dxa"/>
          </w:tcPr>
          <w:p w14:paraId="4C56B832"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35E5437C" w14:textId="77777777" w:rsidR="004722CA" w:rsidRPr="0016610C"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2ABBA274" w14:textId="77777777" w:rsidTr="005F50EE">
        <w:tc>
          <w:tcPr>
            <w:tcW w:w="5104" w:type="dxa"/>
          </w:tcPr>
          <w:p w14:paraId="307A863C" w14:textId="00C7A5D7" w:rsidR="004722CA" w:rsidRPr="00BE7B53"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BE7B53">
              <w:rPr>
                <w:rFonts w:ascii="Arial" w:hAnsi="Arial" w:cs="Arial"/>
                <w:lang w:val="fr-FR"/>
              </w:rPr>
              <w:t>le délai pour l’émission de cet avis est fixé au deuxième lundi d’octobre ;</w:t>
            </w:r>
          </w:p>
        </w:tc>
        <w:tc>
          <w:tcPr>
            <w:tcW w:w="5104" w:type="dxa"/>
          </w:tcPr>
          <w:p w14:paraId="677C6856" w14:textId="77777777" w:rsidR="004722CA" w:rsidRPr="0016610C" w:rsidRDefault="004722CA" w:rsidP="004722CA">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16610C">
              <w:rPr>
                <w:rFonts w:ascii="Arial" w:hAnsi="Arial" w:cs="Arial"/>
                <w:lang w:val="nl-NL"/>
              </w:rPr>
              <w:t>de uiterste datum voor het uitbrengen van dat advies de tweede maandag van oktober wordt;</w:t>
            </w:r>
          </w:p>
        </w:tc>
      </w:tr>
      <w:tr w:rsidR="004722CA" w:rsidRPr="00A827F1" w14:paraId="64F90C91" w14:textId="77777777" w:rsidTr="005F50EE">
        <w:tc>
          <w:tcPr>
            <w:tcW w:w="5104" w:type="dxa"/>
          </w:tcPr>
          <w:p w14:paraId="7B54159A"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63CDB080"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0F3FA40D" w14:textId="77777777" w:rsidTr="005F50EE">
        <w:tc>
          <w:tcPr>
            <w:tcW w:w="5104" w:type="dxa"/>
          </w:tcPr>
          <w:p w14:paraId="4164105C" w14:textId="7F899C16" w:rsidR="004722CA" w:rsidRPr="009B50C8"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BE7B53">
              <w:rPr>
                <w:rFonts w:ascii="Arial" w:hAnsi="Arial" w:cs="Arial"/>
                <w:lang w:val="fr-FR"/>
              </w:rPr>
              <w:t xml:space="preserve">l’avis est transmis au Conseil général et au Comité de l’assurance le jour-même où il est émis. </w:t>
            </w:r>
            <w:r w:rsidRPr="009B50C8">
              <w:rPr>
                <w:rFonts w:ascii="Arial" w:hAnsi="Arial" w:cs="Arial"/>
                <w:lang w:val="fr-FR"/>
              </w:rPr>
              <w:t>Par l’intermédiaire d’un ou plusieurs membres du Conseil général représentant le gouvernement ou d’un commissaire du gouvernement siégeant au Comité de l’assurance, l’avis doit ensuite être transmis au Ministre des Affaires sociales, compte tenu de la nouvelle étape intermédiaire dans la procédure budgétaire par laquelle le Ministre soumet un projet de budget à l’approbation du Conseil des ministres avant que le dossier budgétaire ne soit traité au Conseil général.</w:t>
            </w:r>
          </w:p>
        </w:tc>
        <w:tc>
          <w:tcPr>
            <w:tcW w:w="5104" w:type="dxa"/>
          </w:tcPr>
          <w:p w14:paraId="36D472AA" w14:textId="778B69D8" w:rsidR="004722CA" w:rsidRPr="00EE6F91" w:rsidRDefault="004722CA" w:rsidP="004722CA">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16610C">
              <w:rPr>
                <w:rFonts w:ascii="Arial" w:hAnsi="Arial" w:cs="Arial"/>
                <w:lang w:val="nl-NL"/>
              </w:rPr>
              <w:t>het advies op dezelfde dag dat het wordt uitgebracht wordt overgemaakt aan de Algemene Raad en het Verzekeringscomité. Via één of meerdere leden in de Algemene Raad die de overheid vertegenwoordigen of via een Regeringscommissaris in het Verzekeringscomité dient het advies vervolgens aan de minister van Sociale Zaken te worden bezorgd, gelet op de nieuwe tussenstap in de begrotingsprocedure waarbij de Minister een ontwerpbegroting ter goedkeuring voorleg</w:t>
            </w:r>
            <w:r w:rsidR="007E2513">
              <w:rPr>
                <w:rFonts w:ascii="Arial" w:hAnsi="Arial" w:cs="Arial"/>
                <w:lang w:val="nl-NL"/>
              </w:rPr>
              <w:t>t</w:t>
            </w:r>
            <w:r w:rsidRPr="0016610C">
              <w:rPr>
                <w:rFonts w:ascii="Arial" w:hAnsi="Arial" w:cs="Arial"/>
                <w:lang w:val="nl-NL"/>
              </w:rPr>
              <w:t xml:space="preserve"> aan de Ministerraad vooraleer het begrotingsdossier behandeld wordt in de Algemene Raad.</w:t>
            </w:r>
          </w:p>
        </w:tc>
      </w:tr>
      <w:tr w:rsidR="004722CA" w:rsidRPr="00A827F1" w14:paraId="7AFFA271" w14:textId="77777777" w:rsidTr="005F50EE">
        <w:tc>
          <w:tcPr>
            <w:tcW w:w="5104" w:type="dxa"/>
          </w:tcPr>
          <w:p w14:paraId="1785345B"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6C365249"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EE6F91" w14:paraId="5B3B3147" w14:textId="77777777" w:rsidTr="005F50EE">
        <w:tc>
          <w:tcPr>
            <w:tcW w:w="5104" w:type="dxa"/>
          </w:tcPr>
          <w:p w14:paraId="3C07C6DB" w14:textId="458C64D6"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sidR="00E459F0">
              <w:rPr>
                <w:rFonts w:ascii="Arial" w:hAnsi="Arial" w:cs="Arial"/>
                <w:b/>
                <w:bCs/>
                <w:lang w:val="nl-NL"/>
              </w:rPr>
              <w:t>+2</w:t>
            </w:r>
          </w:p>
        </w:tc>
        <w:tc>
          <w:tcPr>
            <w:tcW w:w="5104" w:type="dxa"/>
          </w:tcPr>
          <w:p w14:paraId="11649880" w14:textId="04423356"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sidR="00E459F0">
              <w:rPr>
                <w:rFonts w:ascii="Arial" w:hAnsi="Arial" w:cs="Arial"/>
                <w:b/>
                <w:bCs/>
                <w:lang w:val="nl-NL"/>
              </w:rPr>
              <w:t>+2</w:t>
            </w:r>
          </w:p>
        </w:tc>
      </w:tr>
      <w:tr w:rsidR="004722CA" w:rsidRPr="00EE6F91" w14:paraId="56D0E170" w14:textId="77777777" w:rsidTr="005F50EE">
        <w:tc>
          <w:tcPr>
            <w:tcW w:w="5104" w:type="dxa"/>
          </w:tcPr>
          <w:p w14:paraId="1CADBD8F"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504DE181"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31EB8A57" w14:textId="77777777" w:rsidTr="005F50EE">
        <w:tc>
          <w:tcPr>
            <w:tcW w:w="5104" w:type="dxa"/>
          </w:tcPr>
          <w:p w14:paraId="26655BC8" w14:textId="34184345" w:rsidR="004722CA" w:rsidRPr="00BE7B53" w:rsidRDefault="00BE7B53" w:rsidP="009A3C5E">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Les modifications dans cet a</w:t>
            </w:r>
            <w:r>
              <w:rPr>
                <w:rFonts w:ascii="Arial" w:hAnsi="Arial" w:cs="Arial"/>
                <w:lang w:val="fr-FR"/>
              </w:rPr>
              <w:t>rticle prévoient que :</w:t>
            </w:r>
          </w:p>
        </w:tc>
        <w:tc>
          <w:tcPr>
            <w:tcW w:w="5104" w:type="dxa"/>
          </w:tcPr>
          <w:p w14:paraId="197ED62F"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r w:rsidRPr="006724F7">
              <w:rPr>
                <w:rFonts w:ascii="Arial" w:hAnsi="Arial" w:cs="Arial"/>
                <w:lang w:val="nl-NL"/>
              </w:rPr>
              <w:t>De wijzigingen in dit artikel voorzien erin dat:</w:t>
            </w:r>
          </w:p>
        </w:tc>
      </w:tr>
      <w:tr w:rsidR="004722CA" w:rsidRPr="00A827F1" w14:paraId="6C2577A9" w14:textId="77777777" w:rsidTr="005F50EE">
        <w:tc>
          <w:tcPr>
            <w:tcW w:w="5104" w:type="dxa"/>
          </w:tcPr>
          <w:p w14:paraId="3426E719"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537C8C76"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6932BE61" w14:textId="77777777" w:rsidTr="005F50EE">
        <w:tc>
          <w:tcPr>
            <w:tcW w:w="5104" w:type="dxa"/>
          </w:tcPr>
          <w:p w14:paraId="746C84B4" w14:textId="59707422" w:rsidR="004722CA" w:rsidRPr="009B50C8"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9B50C8">
              <w:rPr>
                <w:rFonts w:ascii="Arial" w:hAnsi="Arial" w:cs="Arial"/>
                <w:lang w:val="fr-FR"/>
              </w:rPr>
              <w:t xml:space="preserve">étant donné qu’après la proposition du Comité de l’assurance relative à l’objectif budgétaire il </w:t>
            </w:r>
            <w:r w:rsidRPr="009B50C8">
              <w:rPr>
                <w:rFonts w:ascii="Arial" w:hAnsi="Arial" w:cs="Arial"/>
                <w:lang w:val="fr-FR"/>
              </w:rPr>
              <w:lastRenderedPageBreak/>
              <w:t>devient possible pour le Conseil des ministres d’élaborer un projet de budget sur proposition du Ministre des Affaires sociales, il ne sera plus demandé au Comité de l’assurance de revoir leur proposition à la suite de l’avis de la Commission pour les objectifs en matière de soins de santé ;</w:t>
            </w:r>
          </w:p>
        </w:tc>
        <w:tc>
          <w:tcPr>
            <w:tcW w:w="5104" w:type="dxa"/>
          </w:tcPr>
          <w:p w14:paraId="022BE667" w14:textId="616F4631" w:rsidR="004722CA" w:rsidRPr="006724F7" w:rsidRDefault="004722CA" w:rsidP="004722CA">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24F7">
              <w:rPr>
                <w:rFonts w:ascii="Arial" w:hAnsi="Arial" w:cs="Arial"/>
                <w:lang w:val="nl-NL"/>
              </w:rPr>
              <w:lastRenderedPageBreak/>
              <w:t xml:space="preserve">aangezien na het voorstel van het Verzekeringscomité betreffende de </w:t>
            </w:r>
            <w:r w:rsidRPr="006724F7">
              <w:rPr>
                <w:rFonts w:ascii="Arial" w:hAnsi="Arial" w:cs="Arial"/>
                <w:lang w:val="nl-NL"/>
              </w:rPr>
              <w:lastRenderedPageBreak/>
              <w:t>begrotingsdoelstelling het voor de Ministerraad mogelijk wordt om op voorstel van de minister van Sociale Zaken een begrotingsontwerp te doen, het Verzekeringscomité niet meer gevraagd zal worden om hun voorstel te herzien volgend op het advies daarop van de Commissie voor gezondheidszorgdoelstellingen;</w:t>
            </w:r>
          </w:p>
        </w:tc>
      </w:tr>
      <w:tr w:rsidR="004722CA" w:rsidRPr="00A827F1" w14:paraId="5C3774DE" w14:textId="77777777" w:rsidTr="005F50EE">
        <w:tc>
          <w:tcPr>
            <w:tcW w:w="5104" w:type="dxa"/>
          </w:tcPr>
          <w:p w14:paraId="5ABE7B96"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58980CFF"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01F2C0B2" w14:textId="77777777" w:rsidTr="005F50EE">
        <w:tc>
          <w:tcPr>
            <w:tcW w:w="5104" w:type="dxa"/>
          </w:tcPr>
          <w:p w14:paraId="568B4782" w14:textId="57F1BF66" w:rsidR="004722CA" w:rsidRPr="009B50C8" w:rsidRDefault="00BE7B53" w:rsidP="00BE7B53">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9B50C8">
              <w:rPr>
                <w:rFonts w:ascii="Arial" w:hAnsi="Arial" w:cs="Arial"/>
                <w:lang w:val="fr-FR"/>
              </w:rPr>
              <w:t>il est également clairement précisé que l’avis de la Commission pour les objectifs en matière de soins de santé sur la proposition du Comité de l’assurance sera transmis au Conseil général et au Comité de l’assurance le jour-même où il est émis. Comme pour l’article 18, l’avis sera ensuite soumis au Ministre des Affaires sociales par l’intermédiaire d’un ou de plusieurs membres du Conseil général représentant le gouvernement ou d’un commissaire du gouvernement siégeant au sein du Comité de l’assurance, compte tenu la nouvelle étape intermédiaire dans la procédure budgétaire par laquelle le Ministre soumet un projet de budget à l’approbation du Conseil des ministres avant que le dossier budgétaire ne soit examiné par le Conseil général.</w:t>
            </w:r>
          </w:p>
        </w:tc>
        <w:tc>
          <w:tcPr>
            <w:tcW w:w="5104" w:type="dxa"/>
          </w:tcPr>
          <w:p w14:paraId="38431E6B" w14:textId="2A118AAF" w:rsidR="004722CA" w:rsidRPr="00EE6F91" w:rsidRDefault="004722CA" w:rsidP="004722CA">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24F7">
              <w:rPr>
                <w:rFonts w:ascii="Arial" w:hAnsi="Arial" w:cs="Arial"/>
                <w:lang w:val="nl-NL"/>
              </w:rPr>
              <w:t>ook hier verduidelijkt wordt dat het advies van de commissie voor Gezondheidszorgdoelstellingen op het voorstel van het Verzekeringscomité op dezelfde dag dat het wordt uitgebracht wordt overgemaakt aan de Algemene Raad en het Verzekeringscomité. Net zoals bij artikel 18 is het dan vervolgens zo dat via één of meerdere leden in de Algemene Raad die de overheid vertegenwoordigen of via een Regeringscommissaris in het Verzekeringscomité het advies vervolgens aan de minister van Sociale Zaken zal worden bezorgd, gelet op de nieuwe tussenstap in de begrotingsprocedure waarbij de Minister een ontwerpbegroting ter goedkeuring voorleg</w:t>
            </w:r>
            <w:r w:rsidR="007E2513">
              <w:rPr>
                <w:rFonts w:ascii="Arial" w:hAnsi="Arial" w:cs="Arial"/>
                <w:lang w:val="nl-NL"/>
              </w:rPr>
              <w:t>t</w:t>
            </w:r>
            <w:r w:rsidRPr="006724F7">
              <w:rPr>
                <w:rFonts w:ascii="Arial" w:hAnsi="Arial" w:cs="Arial"/>
                <w:lang w:val="nl-NL"/>
              </w:rPr>
              <w:t xml:space="preserve"> aan de Ministerraad vooraleer het begrotingsdossier behandeld wordt in de Algemene Raad.</w:t>
            </w:r>
          </w:p>
        </w:tc>
      </w:tr>
      <w:tr w:rsidR="004722CA" w:rsidRPr="00A827F1" w14:paraId="21D5E877" w14:textId="77777777" w:rsidTr="005F50EE">
        <w:tc>
          <w:tcPr>
            <w:tcW w:w="5104" w:type="dxa"/>
          </w:tcPr>
          <w:p w14:paraId="58D72DA0"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51FE3F79"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EE6F91" w14:paraId="71025FBD" w14:textId="77777777" w:rsidTr="005F50EE">
        <w:tc>
          <w:tcPr>
            <w:tcW w:w="5104" w:type="dxa"/>
          </w:tcPr>
          <w:p w14:paraId="2643D91A" w14:textId="39846028"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sidR="00E459F0">
              <w:rPr>
                <w:rFonts w:ascii="Arial" w:hAnsi="Arial" w:cs="Arial"/>
                <w:b/>
                <w:bCs/>
                <w:lang w:val="nl-NL"/>
              </w:rPr>
              <w:t>+3</w:t>
            </w:r>
          </w:p>
        </w:tc>
        <w:tc>
          <w:tcPr>
            <w:tcW w:w="5104" w:type="dxa"/>
          </w:tcPr>
          <w:p w14:paraId="13EC72F2" w14:textId="053EE32C" w:rsidR="004722CA" w:rsidRPr="00EE6F91" w:rsidRDefault="004722CA" w:rsidP="009A3C5E">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sidR="00E459F0">
              <w:rPr>
                <w:rFonts w:ascii="Arial" w:hAnsi="Arial" w:cs="Arial"/>
                <w:b/>
                <w:bCs/>
                <w:lang w:val="nl-NL"/>
              </w:rPr>
              <w:t>+3</w:t>
            </w:r>
          </w:p>
        </w:tc>
      </w:tr>
      <w:tr w:rsidR="004722CA" w:rsidRPr="00EE6F91" w14:paraId="0612ADF1" w14:textId="77777777" w:rsidTr="005F50EE">
        <w:tc>
          <w:tcPr>
            <w:tcW w:w="5104" w:type="dxa"/>
          </w:tcPr>
          <w:p w14:paraId="0522A24D"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1CB926D0"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4A8C2F3A" w14:textId="77777777" w:rsidTr="005F50EE">
        <w:tc>
          <w:tcPr>
            <w:tcW w:w="5104" w:type="dxa"/>
          </w:tcPr>
          <w:p w14:paraId="15A7A8C1" w14:textId="011DD5CB" w:rsidR="004722CA" w:rsidRPr="00BE7B53" w:rsidRDefault="00BE7B53" w:rsidP="00BE7B53">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 xml:space="preserve">Afin de s’assurer que le Conseil des ministres dispose à temps des informations pertinentes et des documents de base nécessaires pour le prochain budget pour la rédaction de sa lettre de mission au plus tard le 20 juillet, la date est avancée – 30 juin au lieu du 1er septembre- en ce qui concerne la présentation éventuelle des propositions sur les mesures d’économies, l’efficacité des soins et les besoins des Commissions d’accords. Par analogie, la même date est également prévue en ce qui concerne la formulation éventuelle des propositions visant à augmenter l’efficacité des soins au sein de leur secteur par les Commissions d’accords. </w:t>
            </w:r>
          </w:p>
        </w:tc>
        <w:tc>
          <w:tcPr>
            <w:tcW w:w="5104" w:type="dxa"/>
          </w:tcPr>
          <w:p w14:paraId="5C01C269" w14:textId="345421DF" w:rsidR="004722CA" w:rsidRPr="006724F7" w:rsidRDefault="004722CA" w:rsidP="009A3C5E">
            <w:pPr>
              <w:spacing w:after="0" w:line="240" w:lineRule="auto"/>
              <w:jc w:val="both"/>
              <w:rPr>
                <w:rFonts w:ascii="Arial" w:hAnsi="Arial" w:cs="Arial"/>
                <w:lang w:val="nl-NL"/>
              </w:rPr>
            </w:pPr>
            <w:r w:rsidRPr="006724F7">
              <w:rPr>
                <w:rFonts w:ascii="Arial" w:hAnsi="Arial" w:cs="Arial"/>
                <w:lang w:val="nl-NL"/>
              </w:rPr>
              <w:t xml:space="preserve">Opdat de Ministerraad voor het opstellen van hun opdrachtbrief op uiterlijk 20 juli tijdig zou beschikken over de nodige pertinente gegevens en basisdocumenten met het oog op de volgende begroting, wordt de datum vervroegd -30 juni i.p.v. 1 september- voor wat betreft het eventueel overmaken van de voorstellen inzake besparingsmaatregelen, doelmatige zorg en behoeften vanuit de akkoordencommissies. Naar analogie wordt diezelfde datum ook voorzien voor wat betreft het eventueel formuleren van voorstellen tot het verhogen van de doelmatige zorg binnen hun sector door de akkoordencommissies. </w:t>
            </w:r>
          </w:p>
        </w:tc>
      </w:tr>
      <w:tr w:rsidR="004722CA" w:rsidRPr="00A827F1" w14:paraId="1369103A" w14:textId="77777777" w:rsidTr="005F50EE">
        <w:tc>
          <w:tcPr>
            <w:tcW w:w="5104" w:type="dxa"/>
          </w:tcPr>
          <w:p w14:paraId="7EFCB249"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3F50A224" w14:textId="77777777" w:rsidR="004722CA" w:rsidRPr="006724F7"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61CEF8AB" w14:textId="77777777" w:rsidTr="005F50EE">
        <w:tc>
          <w:tcPr>
            <w:tcW w:w="5104" w:type="dxa"/>
          </w:tcPr>
          <w:p w14:paraId="2CE48EBC" w14:textId="7E021CFC" w:rsidR="00BE7B53" w:rsidRPr="00671DC6" w:rsidRDefault="00BE7B53" w:rsidP="00BE7B53">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Les Commissions d’accords sont tenues de soumettre au Conseil général et au Comité de l’assurance les propositions relatives au mesures d’économies au plus tard le 30 juin de l’année précédent l’exercice budgétaire si on estime qu’il y aura un dépassement </w:t>
            </w:r>
            <w:r w:rsidR="00797C61" w:rsidRPr="00671DC6">
              <w:rPr>
                <w:rFonts w:ascii="Arial" w:hAnsi="Arial" w:cs="Arial"/>
                <w:lang w:val="fr-FR"/>
              </w:rPr>
              <w:t xml:space="preserve">significativement </w:t>
            </w:r>
            <w:r w:rsidR="001C1FB4" w:rsidRPr="00671DC6">
              <w:rPr>
                <w:rFonts w:ascii="Arial" w:hAnsi="Arial" w:cs="Arial"/>
                <w:lang w:val="fr-FR"/>
              </w:rPr>
              <w:t xml:space="preserve">non </w:t>
            </w:r>
            <w:r w:rsidR="00BE6EB7" w:rsidRPr="00671DC6">
              <w:rPr>
                <w:rFonts w:ascii="Arial" w:hAnsi="Arial" w:cs="Arial"/>
                <w:lang w:val="fr-FR"/>
              </w:rPr>
              <w:t xml:space="preserve">justifié </w:t>
            </w:r>
            <w:r w:rsidRPr="00671DC6">
              <w:rPr>
                <w:rFonts w:ascii="Arial" w:hAnsi="Arial" w:cs="Arial"/>
                <w:lang w:val="fr-FR"/>
              </w:rPr>
              <w:t xml:space="preserve">de l’objectif budgétaire partiel pour lequel la Commission d’accords est compétente. </w:t>
            </w:r>
          </w:p>
          <w:p w14:paraId="40A0500C" w14:textId="77777777" w:rsidR="004722CA" w:rsidRPr="00671DC6" w:rsidRDefault="004722CA" w:rsidP="009A3C5E">
            <w:pPr>
              <w:tabs>
                <w:tab w:val="left" w:pos="4468"/>
                <w:tab w:val="left" w:pos="5643"/>
                <w:tab w:val="left" w:pos="9747"/>
              </w:tabs>
              <w:spacing w:after="0" w:line="240" w:lineRule="auto"/>
              <w:jc w:val="both"/>
              <w:rPr>
                <w:rFonts w:ascii="Arial" w:hAnsi="Arial" w:cs="Arial"/>
                <w:lang w:val="fr-FR"/>
              </w:rPr>
            </w:pPr>
          </w:p>
        </w:tc>
        <w:tc>
          <w:tcPr>
            <w:tcW w:w="5104" w:type="dxa"/>
          </w:tcPr>
          <w:p w14:paraId="612BA111" w14:textId="321EDF57" w:rsidR="004722CA" w:rsidRPr="006724F7" w:rsidRDefault="004722CA" w:rsidP="009A3C5E">
            <w:pPr>
              <w:spacing w:after="0" w:line="240" w:lineRule="auto"/>
              <w:jc w:val="both"/>
              <w:rPr>
                <w:rFonts w:ascii="Arial" w:hAnsi="Arial" w:cs="Arial"/>
                <w:lang w:val="nl-NL"/>
              </w:rPr>
            </w:pPr>
            <w:r w:rsidRPr="00671DC6">
              <w:rPr>
                <w:rFonts w:ascii="Arial" w:hAnsi="Arial" w:cs="Arial"/>
                <w:lang w:val="nl-NL"/>
              </w:rPr>
              <w:lastRenderedPageBreak/>
              <w:t xml:space="preserve">De akkoordencommissies worden geacht om voorstellen inzake besparingsmaatregelen aan de Algemene Raad en het Verzekeringscomité te bezorgen op uiterlijk 30 juni van het jaar voorafgaand aan het begrotingsjaar indien er een </w:t>
            </w:r>
            <w:r w:rsidR="00544355" w:rsidRPr="00671DC6">
              <w:rPr>
                <w:rFonts w:ascii="Arial" w:eastAsia="Times New Roman" w:hAnsi="Arial" w:cs="Arial"/>
                <w:lang w:val="nl-NL"/>
              </w:rPr>
              <w:t xml:space="preserve">beduidende </w:t>
            </w:r>
            <w:r w:rsidR="00BE6EB7" w:rsidRPr="00671DC6">
              <w:rPr>
                <w:rFonts w:ascii="Arial" w:hAnsi="Arial" w:cs="Arial"/>
                <w:lang w:val="nl-NL"/>
              </w:rPr>
              <w:t>niet</w:t>
            </w:r>
            <w:r w:rsidR="00D83D55" w:rsidRPr="00671DC6">
              <w:rPr>
                <w:rFonts w:ascii="Arial" w:hAnsi="Arial" w:cs="Arial"/>
                <w:lang w:val="nl-NL"/>
              </w:rPr>
              <w:t xml:space="preserve"> gerechtvaardigde</w:t>
            </w:r>
            <w:r w:rsidR="00BE6EB7" w:rsidRPr="00671DC6">
              <w:rPr>
                <w:rFonts w:ascii="Arial" w:hAnsi="Arial" w:cs="Arial"/>
                <w:lang w:val="nl-NL"/>
              </w:rPr>
              <w:t xml:space="preserve"> </w:t>
            </w:r>
            <w:r w:rsidRPr="00671DC6">
              <w:rPr>
                <w:rFonts w:ascii="Arial" w:hAnsi="Arial" w:cs="Arial"/>
                <w:lang w:val="nl-NL"/>
              </w:rPr>
              <w:t xml:space="preserve">overschrijding geraamd wordt van de partiële </w:t>
            </w:r>
            <w:r w:rsidRPr="00671DC6">
              <w:rPr>
                <w:rFonts w:ascii="Arial" w:hAnsi="Arial" w:cs="Arial"/>
                <w:lang w:val="nl-NL"/>
              </w:rPr>
              <w:lastRenderedPageBreak/>
              <w:t>begrotingsdoelstelling waarvoor de akkoordencommissie bevoegd is.</w:t>
            </w:r>
            <w:r w:rsidRPr="006724F7">
              <w:rPr>
                <w:rFonts w:ascii="Arial" w:hAnsi="Arial" w:cs="Arial"/>
                <w:lang w:val="nl-NL"/>
              </w:rPr>
              <w:t xml:space="preserve"> </w:t>
            </w:r>
          </w:p>
        </w:tc>
      </w:tr>
      <w:tr w:rsidR="004722CA" w:rsidRPr="00A827F1" w14:paraId="66055547" w14:textId="77777777" w:rsidTr="005F50EE">
        <w:tc>
          <w:tcPr>
            <w:tcW w:w="5104" w:type="dxa"/>
          </w:tcPr>
          <w:p w14:paraId="5C269CC0"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5058496A" w14:textId="77777777" w:rsidR="004722CA" w:rsidRPr="006724F7"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64FB6059" w14:textId="77777777" w:rsidTr="005F50EE">
        <w:tc>
          <w:tcPr>
            <w:tcW w:w="5104" w:type="dxa"/>
          </w:tcPr>
          <w:p w14:paraId="75A5629A" w14:textId="27070C51" w:rsidR="004722CA" w:rsidRPr="00BE7B53" w:rsidRDefault="00BE7B53" w:rsidP="009A3C5E">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 xml:space="preserve">Les propositions visées dans le présent article sont transmises au Ministre des Affaires sociales par l’intermédiaire d’un ou plusieurs membres du Conseil général représentant le gouvernement ou un commissaire du gouvernement siégeant au Comité de l’assurance. </w:t>
            </w:r>
          </w:p>
        </w:tc>
        <w:tc>
          <w:tcPr>
            <w:tcW w:w="5104" w:type="dxa"/>
          </w:tcPr>
          <w:p w14:paraId="64C497AB" w14:textId="77777777" w:rsidR="004722CA" w:rsidRPr="006724F7" w:rsidRDefault="004722CA" w:rsidP="009A3C5E">
            <w:pPr>
              <w:spacing w:after="0" w:line="240" w:lineRule="auto"/>
              <w:jc w:val="both"/>
              <w:rPr>
                <w:rFonts w:ascii="Arial" w:hAnsi="Arial" w:cs="Arial"/>
                <w:lang w:val="nl-NL"/>
              </w:rPr>
            </w:pPr>
            <w:r w:rsidRPr="006724F7">
              <w:rPr>
                <w:rFonts w:ascii="Arial" w:hAnsi="Arial" w:cs="Arial"/>
                <w:lang w:val="nl-NL"/>
              </w:rPr>
              <w:t>Via één of meerdere leden in de Algemene Raad die de overheid vertegenwoordigen of via een Regeringscommissaris in het Verzekeringscomité zullen de voorstellen bedoeld in dit artikel aan de minister van Sociale Zaken worden bezorgd.</w:t>
            </w:r>
          </w:p>
        </w:tc>
      </w:tr>
      <w:tr w:rsidR="004722CA" w:rsidRPr="00A827F1" w14:paraId="2D87B33A" w14:textId="77777777" w:rsidTr="005F50EE">
        <w:tc>
          <w:tcPr>
            <w:tcW w:w="5104" w:type="dxa"/>
          </w:tcPr>
          <w:p w14:paraId="1AAC1F62" w14:textId="77777777" w:rsidR="004722CA" w:rsidRPr="00EE6F91" w:rsidRDefault="004722CA"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583CBF67" w14:textId="77777777" w:rsidR="004722CA" w:rsidRPr="006724F7" w:rsidRDefault="004722CA" w:rsidP="009A3C5E">
            <w:pPr>
              <w:tabs>
                <w:tab w:val="left" w:pos="4468"/>
                <w:tab w:val="left" w:pos="5643"/>
                <w:tab w:val="left" w:pos="9747"/>
              </w:tabs>
              <w:spacing w:after="0" w:line="240" w:lineRule="auto"/>
              <w:jc w:val="both"/>
              <w:rPr>
                <w:rFonts w:ascii="Arial" w:hAnsi="Arial" w:cs="Arial"/>
                <w:lang w:val="nl-NL"/>
              </w:rPr>
            </w:pPr>
          </w:p>
        </w:tc>
      </w:tr>
      <w:tr w:rsidR="004722CA" w:rsidRPr="00A827F1" w14:paraId="7D864BBE" w14:textId="77777777" w:rsidTr="005F50EE">
        <w:tc>
          <w:tcPr>
            <w:tcW w:w="5104" w:type="dxa"/>
          </w:tcPr>
          <w:p w14:paraId="49F3859F" w14:textId="63F8CA42" w:rsidR="004722CA" w:rsidRPr="00BE7B53" w:rsidRDefault="00BE7B53" w:rsidP="009A3C5E">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Pour les secteurs qui ne remettent pas les propositions à temps, il s’ensuit que la lettre de mission du Conseil des ministres pour ces secteurs, nouvellement prévue à l’article 39, peut elle-même faire des propositions sans pouvoir prendre en compte les propositions faites par les secteurs concernés.</w:t>
            </w:r>
          </w:p>
        </w:tc>
        <w:tc>
          <w:tcPr>
            <w:tcW w:w="5104" w:type="dxa"/>
          </w:tcPr>
          <w:p w14:paraId="1E59FE87" w14:textId="2652ADDE" w:rsidR="004722CA" w:rsidRPr="006724F7" w:rsidRDefault="004722CA" w:rsidP="009A3C5E">
            <w:pPr>
              <w:spacing w:after="0" w:line="240" w:lineRule="auto"/>
              <w:jc w:val="both"/>
              <w:rPr>
                <w:rFonts w:ascii="Arial" w:hAnsi="Arial" w:cs="Arial"/>
                <w:lang w:val="nl-NL"/>
              </w:rPr>
            </w:pPr>
            <w:r w:rsidRPr="006724F7">
              <w:rPr>
                <w:rFonts w:ascii="Arial" w:hAnsi="Arial" w:cs="Arial"/>
                <w:lang w:val="nl-NL"/>
              </w:rPr>
              <w:t xml:space="preserve">Voor de sectoren die de voorstellen niet tijdig aanleveren volgt hieruit dat de in artikel 39 nieuw voorziene opdrachtbrief van de Ministerraad voor die sectoren zelf dergelijke voorstellen kan doen zonder dus </w:t>
            </w:r>
            <w:r>
              <w:rPr>
                <w:rFonts w:ascii="Arial" w:hAnsi="Arial" w:cs="Arial"/>
                <w:lang w:val="nl-NL"/>
              </w:rPr>
              <w:t xml:space="preserve">mogelijks </w:t>
            </w:r>
            <w:r w:rsidRPr="006724F7">
              <w:rPr>
                <w:rFonts w:ascii="Arial" w:hAnsi="Arial" w:cs="Arial"/>
                <w:lang w:val="nl-NL"/>
              </w:rPr>
              <w:t xml:space="preserve">rekening te kunnen </w:t>
            </w:r>
            <w:r>
              <w:rPr>
                <w:rFonts w:ascii="Arial" w:hAnsi="Arial" w:cs="Arial"/>
                <w:lang w:val="nl-NL"/>
              </w:rPr>
              <w:t xml:space="preserve">houden </w:t>
            </w:r>
            <w:r w:rsidRPr="006724F7">
              <w:rPr>
                <w:rFonts w:ascii="Arial" w:hAnsi="Arial" w:cs="Arial"/>
                <w:lang w:val="nl-NL"/>
              </w:rPr>
              <w:t xml:space="preserve">met </w:t>
            </w:r>
            <w:r>
              <w:rPr>
                <w:rFonts w:ascii="Arial" w:hAnsi="Arial" w:cs="Arial"/>
                <w:lang w:val="nl-NL"/>
              </w:rPr>
              <w:t>de voorstellen</w:t>
            </w:r>
            <w:r w:rsidRPr="006724F7">
              <w:rPr>
                <w:rFonts w:ascii="Arial" w:hAnsi="Arial" w:cs="Arial"/>
                <w:lang w:val="nl-NL"/>
              </w:rPr>
              <w:t xml:space="preserve"> van de desbetreffende sectoren, alsook door de instanties betrokken bij de begrotingsopmaak (Verzekeringscomité, Ministerraad en Algemene Raad).</w:t>
            </w:r>
          </w:p>
        </w:tc>
      </w:tr>
      <w:tr w:rsidR="00E94D80" w:rsidRPr="00A827F1" w14:paraId="62BF53E8" w14:textId="77777777" w:rsidTr="005F50EE">
        <w:tc>
          <w:tcPr>
            <w:tcW w:w="5104" w:type="dxa"/>
          </w:tcPr>
          <w:p w14:paraId="01FB5AA9" w14:textId="77777777" w:rsidR="00E94D80" w:rsidRPr="00EE6F91" w:rsidRDefault="00E94D80" w:rsidP="009A3C5E">
            <w:pPr>
              <w:tabs>
                <w:tab w:val="left" w:pos="4468"/>
                <w:tab w:val="left" w:pos="5643"/>
                <w:tab w:val="left" w:pos="9747"/>
              </w:tabs>
              <w:spacing w:after="0" w:line="240" w:lineRule="auto"/>
              <w:jc w:val="both"/>
              <w:rPr>
                <w:rFonts w:ascii="Arial" w:hAnsi="Arial" w:cs="Arial"/>
                <w:lang w:val="nl-NL"/>
              </w:rPr>
            </w:pPr>
          </w:p>
        </w:tc>
        <w:tc>
          <w:tcPr>
            <w:tcW w:w="5104" w:type="dxa"/>
          </w:tcPr>
          <w:p w14:paraId="22D1B952" w14:textId="77777777" w:rsidR="00E94D80" w:rsidRPr="00EE6F91" w:rsidRDefault="00E94D80" w:rsidP="009A3C5E">
            <w:pPr>
              <w:tabs>
                <w:tab w:val="left" w:pos="4468"/>
                <w:tab w:val="left" w:pos="5643"/>
                <w:tab w:val="left" w:pos="9747"/>
              </w:tabs>
              <w:spacing w:after="0" w:line="240" w:lineRule="auto"/>
              <w:jc w:val="both"/>
              <w:rPr>
                <w:rFonts w:ascii="Arial" w:hAnsi="Arial" w:cs="Arial"/>
                <w:lang w:val="nl-NL"/>
              </w:rPr>
            </w:pPr>
          </w:p>
        </w:tc>
      </w:tr>
      <w:tr w:rsidR="00477C89" w:rsidRPr="00A827F1" w14:paraId="76188264" w14:textId="77777777" w:rsidTr="005F50EE">
        <w:tc>
          <w:tcPr>
            <w:tcW w:w="5104" w:type="dxa"/>
          </w:tcPr>
          <w:p w14:paraId="44E9868B" w14:textId="31A1A063" w:rsidR="00477C89" w:rsidRPr="00E80604" w:rsidRDefault="00477C89" w:rsidP="00477C89">
            <w:pPr>
              <w:tabs>
                <w:tab w:val="left" w:pos="4468"/>
                <w:tab w:val="left" w:pos="5643"/>
                <w:tab w:val="left" w:pos="9747"/>
              </w:tabs>
              <w:spacing w:after="0" w:line="240" w:lineRule="auto"/>
              <w:jc w:val="both"/>
              <w:rPr>
                <w:rFonts w:ascii="Arial" w:hAnsi="Arial" w:cs="Arial"/>
                <w:lang w:val="fr-FR"/>
              </w:rPr>
            </w:pPr>
            <w:r w:rsidRPr="00667612">
              <w:rPr>
                <w:rFonts w:ascii="Arial" w:hAnsi="Arial" w:cs="Arial"/>
                <w:lang w:val="fr-FR"/>
              </w:rPr>
              <w:t>Enfin, il est également explicitement mentionné que les estimations techniques -tant les estimations techniques initiales (connues au plus tard le 31 mai) que les estimations techniques révisées (connues au plus tard le 15 septembre)- sont discutées en Conseil des ministres.</w:t>
            </w:r>
            <w:r w:rsidR="00CE635D" w:rsidRPr="00CE635D">
              <w:rPr>
                <w:lang w:val="fr-FR"/>
              </w:rPr>
              <w:t xml:space="preserve"> </w:t>
            </w:r>
            <w:r w:rsidR="00CE635D" w:rsidRPr="00CE635D">
              <w:rPr>
                <w:rFonts w:ascii="Arial" w:hAnsi="Arial" w:cs="Arial"/>
                <w:lang w:val="fr-FR"/>
              </w:rPr>
              <w:t>Les estimations techniques établies par l'INAMI sont des projections à court terme des dépenses de soins de santé basées sur des analyses de tendances et des estimations de l'impact des mesures politiques. Les estimations techniques fournissent des informations pour la préparation de l'exercice budgétaire suivant et le suivi de l'exercice budgétaire en cours.</w:t>
            </w:r>
          </w:p>
        </w:tc>
        <w:tc>
          <w:tcPr>
            <w:tcW w:w="5104" w:type="dxa"/>
          </w:tcPr>
          <w:p w14:paraId="4DDB6E05" w14:textId="30B9CBAC" w:rsidR="00477C89" w:rsidRPr="00EE6F91" w:rsidRDefault="00477C89" w:rsidP="00477C89">
            <w:pPr>
              <w:tabs>
                <w:tab w:val="left" w:pos="1200"/>
              </w:tabs>
              <w:spacing w:after="0" w:line="240" w:lineRule="auto"/>
              <w:jc w:val="both"/>
              <w:rPr>
                <w:rFonts w:ascii="Arial" w:hAnsi="Arial" w:cs="Arial"/>
                <w:lang w:val="nl-NL"/>
              </w:rPr>
            </w:pPr>
            <w:r>
              <w:rPr>
                <w:rFonts w:ascii="Arial" w:hAnsi="Arial" w:cs="Arial"/>
                <w:lang w:val="nl-NL"/>
              </w:rPr>
              <w:t>Tenslotte wordt ook expliciet ingeschreven dat de technische ramingen -zowel de initiële (uiterlijk 31 mei bekend) als de herziene technische ramingen (uiterlijk 15 september bekend)- besproken worden in de Ministerraad.</w:t>
            </w:r>
            <w:r w:rsidR="00CE635D" w:rsidRPr="00CE635D">
              <w:rPr>
                <w:lang w:val="nl-NL"/>
              </w:rPr>
              <w:t xml:space="preserve"> </w:t>
            </w:r>
            <w:r w:rsidR="00CE635D" w:rsidRPr="00CE635D">
              <w:rPr>
                <w:rFonts w:ascii="Arial" w:hAnsi="Arial" w:cs="Arial"/>
                <w:lang w:val="nl-NL"/>
              </w:rPr>
              <w:t>De technische ramingen opgemaakt door het RIZIV zijn korte termijn projecties van de uitgaven voor geneeskundige verzorging op basis van trendanalyses en ramingen van de impact van beleidsmaatregelen. De technische ramingen leveren informatie op voor de opmaak van het komende begrotingsjaar en de opvolging van het lopende begrotingsjaar.</w:t>
            </w:r>
          </w:p>
        </w:tc>
      </w:tr>
      <w:tr w:rsidR="00E94D80" w:rsidRPr="00A827F1" w14:paraId="26DC490F" w14:textId="77777777" w:rsidTr="005F50EE">
        <w:tc>
          <w:tcPr>
            <w:tcW w:w="5104" w:type="dxa"/>
          </w:tcPr>
          <w:p w14:paraId="2414BBE6"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4A793468"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EE6F91" w14:paraId="48D3E91E" w14:textId="77777777" w:rsidTr="005F50EE">
        <w:tc>
          <w:tcPr>
            <w:tcW w:w="5104" w:type="dxa"/>
          </w:tcPr>
          <w:p w14:paraId="6BEB7EAB" w14:textId="15E8F52A" w:rsidR="00E94D80" w:rsidRPr="00EE6F91" w:rsidRDefault="00E94D80" w:rsidP="00E94D8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w:t>
            </w:r>
          </w:p>
        </w:tc>
        <w:tc>
          <w:tcPr>
            <w:tcW w:w="5104" w:type="dxa"/>
          </w:tcPr>
          <w:p w14:paraId="44674521" w14:textId="41402145" w:rsidR="00E94D80" w:rsidRPr="00EE6F91" w:rsidRDefault="00E94D80" w:rsidP="00E94D8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w:t>
            </w:r>
          </w:p>
        </w:tc>
      </w:tr>
      <w:tr w:rsidR="00E94D80" w:rsidRPr="00EE6F91" w14:paraId="6F5EF26D" w14:textId="77777777" w:rsidTr="005F50EE">
        <w:tc>
          <w:tcPr>
            <w:tcW w:w="5104" w:type="dxa"/>
          </w:tcPr>
          <w:p w14:paraId="76AEDC4A"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2D45F1EE"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5838664E" w14:textId="77777777" w:rsidTr="005F50EE">
        <w:tc>
          <w:tcPr>
            <w:tcW w:w="5104" w:type="dxa"/>
          </w:tcPr>
          <w:p w14:paraId="28873DEE" w14:textId="46886EA3" w:rsidR="00E94D80" w:rsidRPr="00BE7B53" w:rsidRDefault="00E94D80" w:rsidP="00E94D80">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Les dispositions suivantes sont prévues dans cet article compte tenu de la nouvelle procédure budgétaire à suivre :</w:t>
            </w:r>
          </w:p>
        </w:tc>
        <w:tc>
          <w:tcPr>
            <w:tcW w:w="5104" w:type="dxa"/>
          </w:tcPr>
          <w:p w14:paraId="675F9087"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r w:rsidRPr="006724F7">
              <w:rPr>
                <w:rFonts w:ascii="Arial" w:hAnsi="Arial" w:cs="Arial"/>
                <w:lang w:val="nl-NL"/>
              </w:rPr>
              <w:t>De volgende bepalingen worden in dit artikel voorzien gelet op het nieuwe te volgen begrotingsproces:</w:t>
            </w:r>
          </w:p>
        </w:tc>
      </w:tr>
      <w:tr w:rsidR="00E94D80" w:rsidRPr="00A827F1" w14:paraId="1B07B7DF" w14:textId="77777777" w:rsidTr="005F50EE">
        <w:tc>
          <w:tcPr>
            <w:tcW w:w="5104" w:type="dxa"/>
          </w:tcPr>
          <w:p w14:paraId="06B9A152"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1A6E783F"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3F40C540" w14:textId="77777777" w:rsidTr="005F50EE">
        <w:tc>
          <w:tcPr>
            <w:tcW w:w="5104" w:type="dxa"/>
          </w:tcPr>
          <w:p w14:paraId="12259538" w14:textId="656AE6BE" w:rsidR="00E94D80" w:rsidRPr="009B50C8"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9B50C8">
              <w:rPr>
                <w:rFonts w:ascii="Arial" w:hAnsi="Arial" w:cs="Arial"/>
                <w:lang w:val="fr-FR"/>
              </w:rPr>
              <w:t>la lettre de mission du Conseil des ministres doit être remise au plus tard le 20 juillet par le Ministre des Affaires sociales au Comité de l’assurance (et au Conseil général). Si cette lettre n’est pas remise pour le 20 juillet</w:t>
            </w:r>
            <w:r>
              <w:rPr>
                <w:rFonts w:ascii="Arial" w:hAnsi="Arial" w:cs="Arial"/>
                <w:lang w:val="fr-FR"/>
              </w:rPr>
              <w:t>,</w:t>
            </w:r>
            <w:r w:rsidRPr="009B50C8">
              <w:rPr>
                <w:rFonts w:ascii="Arial" w:hAnsi="Arial" w:cs="Arial"/>
                <w:lang w:val="fr-FR"/>
              </w:rPr>
              <w:t xml:space="preserve"> le Comité de l’assurance prépare sa proposition d’objectif budgétaire au mieux de ses capacités, comme auparavant, sur base de toutes les autres informations disponibles (mais sans la lettre de mission);</w:t>
            </w:r>
            <w:r w:rsidRPr="009B50C8">
              <w:rPr>
                <w:rFonts w:ascii="Arial" w:hAnsi="Arial" w:cs="Arial"/>
                <w:lang w:val="fr-FR"/>
              </w:rPr>
              <w:tab/>
            </w:r>
          </w:p>
        </w:tc>
        <w:tc>
          <w:tcPr>
            <w:tcW w:w="5104" w:type="dxa"/>
          </w:tcPr>
          <w:p w14:paraId="46DA4974" w14:textId="5122F491" w:rsidR="00E94D80" w:rsidRPr="00EE6F91"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24F7">
              <w:rPr>
                <w:rFonts w:ascii="Arial" w:hAnsi="Arial" w:cs="Arial"/>
                <w:lang w:val="nl-NL"/>
              </w:rPr>
              <w:t>de opdrachtbrief van de Ministerraad dient uiterlijk op 20 juli door de minister van Sociale Zaken aan het Verzekeringscomité (en de Algemene Raad) bezorgd te worden. Indien deze brief niet wordt opgeleverd tegen 20 juli maakt het Verzekeringscomité diens voorstel van begrotingsdoelstelling op naar best vermogen zoals voorheen op basis van alle andere beschikbare gegevens (maar dan zonder de opdrachtbrief);</w:t>
            </w:r>
          </w:p>
        </w:tc>
      </w:tr>
      <w:tr w:rsidR="00E94D80" w:rsidRPr="00A827F1" w14:paraId="3813F410" w14:textId="77777777" w:rsidTr="005F50EE">
        <w:tc>
          <w:tcPr>
            <w:tcW w:w="5104" w:type="dxa"/>
          </w:tcPr>
          <w:p w14:paraId="32DC077C"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3E17F4B7"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23F799A3" w14:textId="77777777" w:rsidTr="005F50EE">
        <w:tc>
          <w:tcPr>
            <w:tcW w:w="5104" w:type="dxa"/>
          </w:tcPr>
          <w:p w14:paraId="7086CCA5" w14:textId="1610CD98" w:rsidR="00E94D80" w:rsidRPr="009B50C8"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9B50C8">
              <w:rPr>
                <w:rFonts w:ascii="Arial" w:hAnsi="Arial" w:cs="Arial"/>
                <w:lang w:val="fr-FR"/>
              </w:rPr>
              <w:t>la proposition d’objectif budgétaire du Comité de l’assurance – à soumettre à la Commission de contrôle budgétaire (pour avis), à la Commission pour les objectifs en matière de soins de santé (pour avis) et au Conseil général- doit également prendre en compte les objectifs prioritaires en matière soins de santé fixés par le Conseil général pour la législature dans le cadre de l’assurance maladie obligatoire tel que visé à l’article 16, 18° et la lettre de mission (pour autant qu’elle ait été effectivement délivrée (dans les délais)). A nouveau ici, la proposition sera transmise au Ministres des Affaires sociales par l’intermédiaire d’un ou plusieurs membres du Conseil général représentant le gouvernement ou par l’intermédiaire d’un commissaire du gouvernement siégeant au sein du Comité de l’assurance;</w:t>
            </w:r>
          </w:p>
        </w:tc>
        <w:tc>
          <w:tcPr>
            <w:tcW w:w="5104" w:type="dxa"/>
          </w:tcPr>
          <w:p w14:paraId="7E65D70A" w14:textId="6104CEF1" w:rsidR="00E94D80" w:rsidRPr="00EE6F91"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24F7">
              <w:rPr>
                <w:rFonts w:ascii="Arial" w:hAnsi="Arial" w:cs="Arial"/>
                <w:lang w:val="nl-NL"/>
              </w:rPr>
              <w:t xml:space="preserve">het voorstel tot begrotingsdoelstelling van het Verzekeringscomité –over te maken aan de Commissie voor begrotingscontrole (voor advies), aan de Commissie voor gezondheidszorgdoelstellingen (voor advies) en aan de Algemene Raad– </w:t>
            </w:r>
            <w:r w:rsidRPr="00CC67D6">
              <w:rPr>
                <w:rFonts w:ascii="Arial" w:hAnsi="Arial" w:cs="Arial"/>
                <w:lang w:val="nl-NL"/>
              </w:rPr>
              <w:t xml:space="preserve">dient tevens </w:t>
            </w:r>
            <w:r w:rsidRPr="009A48FC">
              <w:rPr>
                <w:rFonts w:ascii="Arial" w:hAnsi="Arial" w:cs="Arial"/>
                <w:lang w:val="nl-NL"/>
              </w:rPr>
              <w:t>rekening te houden met de door de Algemene Raad bepaalde prioritaire gezondheidszorgdoelstellingen voor de legislatuur binnen het kader van de verplichte ziekteverzekering zoals bedoeld in artikel 16, 18° en met</w:t>
            </w:r>
            <w:r w:rsidRPr="004722CA">
              <w:rPr>
                <w:rFonts w:ascii="Arial" w:hAnsi="Arial" w:cs="Arial"/>
                <w:i/>
                <w:iCs/>
                <w:lang w:val="nl-NL"/>
              </w:rPr>
              <w:t xml:space="preserve"> </w:t>
            </w:r>
            <w:r w:rsidRPr="00CC67D6">
              <w:rPr>
                <w:rFonts w:ascii="Arial" w:hAnsi="Arial" w:cs="Arial"/>
                <w:lang w:val="nl-NL"/>
              </w:rPr>
              <w:t xml:space="preserve"> de opdrachtbrief</w:t>
            </w:r>
            <w:r w:rsidRPr="006724F7">
              <w:rPr>
                <w:rFonts w:ascii="Arial" w:hAnsi="Arial" w:cs="Arial"/>
                <w:lang w:val="nl-NL"/>
              </w:rPr>
              <w:t xml:space="preserve"> (voor zover die effectief (tijdig) werd opgeleverd). Ook hier zal via één of meerdere leden in de Algemene Raad die de overheid vertegenwoordigen of via een Regeringscommissaris in het Verzekeringscomité het voorstel aan de minister van Sociale Zaken worden bezorgd;</w:t>
            </w:r>
          </w:p>
        </w:tc>
      </w:tr>
      <w:tr w:rsidR="00E94D80" w:rsidRPr="00A827F1" w14:paraId="5ADDD893" w14:textId="77777777" w:rsidTr="005F50EE">
        <w:tc>
          <w:tcPr>
            <w:tcW w:w="5104" w:type="dxa"/>
          </w:tcPr>
          <w:p w14:paraId="6CCDD78E"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2FD35E85"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73AFE7FB" w14:textId="77777777" w:rsidTr="005F50EE">
        <w:tc>
          <w:tcPr>
            <w:tcW w:w="5104" w:type="dxa"/>
          </w:tcPr>
          <w:p w14:paraId="0BCA6B74" w14:textId="4115AD3F" w:rsidR="00E94D80" w:rsidRPr="009B50C8"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9B50C8">
              <w:rPr>
                <w:rFonts w:ascii="Arial" w:hAnsi="Arial" w:cs="Arial"/>
                <w:lang w:val="fr-FR"/>
              </w:rPr>
              <w:t xml:space="preserve">ensuite, après avis de la Commission de contrôle budgétaire et de la Commission pour les objectifs en matière de soins de santé (et également compte tenu des estimations techniques révisées), le Ministre soumet un projet de budget complet relatif au soins de santé (à savoir une partie dans  et hors objectif budgétaire) à l’approbation du Conseil des ministres. </w:t>
            </w:r>
          </w:p>
        </w:tc>
        <w:tc>
          <w:tcPr>
            <w:tcW w:w="5104" w:type="dxa"/>
          </w:tcPr>
          <w:p w14:paraId="6F88F1C4" w14:textId="5010F686" w:rsidR="00E94D80" w:rsidRPr="00EE6F91"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24F7">
              <w:rPr>
                <w:rFonts w:ascii="Arial" w:hAnsi="Arial" w:cs="Arial"/>
                <w:lang w:val="nl-NL"/>
              </w:rPr>
              <w:t xml:space="preserve">vervolgens </w:t>
            </w:r>
            <w:r>
              <w:rPr>
                <w:rFonts w:ascii="Arial" w:hAnsi="Arial" w:cs="Arial"/>
                <w:lang w:val="nl-NL"/>
              </w:rPr>
              <w:t>legt</w:t>
            </w:r>
            <w:r w:rsidRPr="006724F7">
              <w:rPr>
                <w:rFonts w:ascii="Arial" w:hAnsi="Arial" w:cs="Arial"/>
                <w:lang w:val="nl-NL"/>
              </w:rPr>
              <w:t xml:space="preserve"> de Minister na de adviezen van de Commissie voor begrotingscontrole en de Commissie voor gezondheidszorgdoelstellingen (en eveneens gelet op de herziene tech</w:t>
            </w:r>
            <w:r>
              <w:rPr>
                <w:rFonts w:ascii="Arial" w:hAnsi="Arial" w:cs="Arial"/>
                <w:lang w:val="nl-NL"/>
              </w:rPr>
              <w:t>n</w:t>
            </w:r>
            <w:r w:rsidRPr="006724F7">
              <w:rPr>
                <w:rFonts w:ascii="Arial" w:hAnsi="Arial" w:cs="Arial"/>
                <w:lang w:val="nl-NL"/>
              </w:rPr>
              <w:t xml:space="preserve">ische ramingen) een ontwerp van volledige gezondheidszorgbegroting (dus deel binnen en buiten begrotingsdoelstelling) ter goedkeuring voor aan de Ministerraad. </w:t>
            </w:r>
          </w:p>
        </w:tc>
      </w:tr>
      <w:tr w:rsidR="00E94D80" w:rsidRPr="00A827F1" w14:paraId="00727D8B" w14:textId="77777777" w:rsidTr="005F50EE">
        <w:tc>
          <w:tcPr>
            <w:tcW w:w="5104" w:type="dxa"/>
          </w:tcPr>
          <w:p w14:paraId="3E638B15"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0BDB8B0F"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42F6381F" w14:textId="77777777" w:rsidTr="005F50EE">
        <w:tc>
          <w:tcPr>
            <w:tcW w:w="5104" w:type="dxa"/>
          </w:tcPr>
          <w:p w14:paraId="4346EEB9" w14:textId="0D48E4AC" w:rsidR="00E94D80" w:rsidRPr="00BE7B53" w:rsidRDefault="00E94D80" w:rsidP="00E94D80">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 xml:space="preserve">En ce qui concerne le calendrier de cette étape dans le processus budgétaire, il est prévu que le Ministre peut soumettre un projet au Conseil des ministres au plus tôt après la date limite pour les avis de la Commission de contrôle budgétaire et la Commission pour les objectifs en matière de soins de santé (c’est-à-dire le deuxième lundi d’octobre), projet qui est ensuite </w:t>
            </w:r>
            <w:r>
              <w:rPr>
                <w:rFonts w:ascii="Arial" w:hAnsi="Arial" w:cs="Arial"/>
                <w:lang w:val="fr-FR"/>
              </w:rPr>
              <w:t>traité</w:t>
            </w:r>
            <w:r w:rsidRPr="00BE7B53">
              <w:rPr>
                <w:rFonts w:ascii="Arial" w:hAnsi="Arial" w:cs="Arial"/>
                <w:lang w:val="fr-FR"/>
              </w:rPr>
              <w:t xml:space="preserve"> par le Conseil des ministres </w:t>
            </w:r>
            <w:r>
              <w:rPr>
                <w:rFonts w:ascii="Arial" w:hAnsi="Arial" w:cs="Arial"/>
                <w:lang w:val="fr-FR"/>
              </w:rPr>
              <w:t>au plus tard à la fin de cette même semaine (c’est-à-dire le deuxième vendredi d’octobre)</w:t>
            </w:r>
            <w:r w:rsidRPr="00BE7B53">
              <w:rPr>
                <w:rFonts w:ascii="Arial" w:hAnsi="Arial" w:cs="Arial"/>
                <w:lang w:val="fr-FR"/>
              </w:rPr>
              <w:t>;</w:t>
            </w:r>
          </w:p>
        </w:tc>
        <w:tc>
          <w:tcPr>
            <w:tcW w:w="5104" w:type="dxa"/>
          </w:tcPr>
          <w:p w14:paraId="13411603" w14:textId="04052B7F" w:rsidR="00E94D80" w:rsidRPr="00EE6F91" w:rsidRDefault="00E94D80" w:rsidP="00E94D80">
            <w:pPr>
              <w:pStyle w:val="Lijstalinea"/>
              <w:tabs>
                <w:tab w:val="left" w:pos="4468"/>
                <w:tab w:val="left" w:pos="5643"/>
                <w:tab w:val="left" w:pos="9747"/>
              </w:tabs>
              <w:spacing w:after="0" w:line="240" w:lineRule="auto"/>
              <w:ind w:left="250"/>
              <w:jc w:val="both"/>
              <w:rPr>
                <w:rFonts w:ascii="Arial" w:hAnsi="Arial" w:cs="Arial"/>
                <w:lang w:val="nl-NL"/>
              </w:rPr>
            </w:pPr>
            <w:r w:rsidRPr="006724F7">
              <w:rPr>
                <w:rFonts w:ascii="Arial" w:hAnsi="Arial" w:cs="Arial"/>
                <w:lang w:val="nl-NL"/>
              </w:rPr>
              <w:t xml:space="preserve">Op het vlak van timing van deze stap in het begrotingsproces wordt voorzien dat de Minister ten vroegste een ontwerp kan voorleggen aan de Ministerraad na de uiterste datum voor de adviezen van de Commissie voor begrotingscontrole en de Commissie voor gezondheidszorgdoelstellingen (zijnde de tweede maandag van oktober), hetwelk dan door de Ministerraad te behandelen is </w:t>
            </w:r>
            <w:r>
              <w:rPr>
                <w:rFonts w:ascii="Arial" w:hAnsi="Arial" w:cs="Arial"/>
                <w:lang w:val="nl-NL"/>
              </w:rPr>
              <w:t>uiterlijk het einde van diezelfde week (zijnde de tweede vrijdag van oktober)</w:t>
            </w:r>
            <w:r w:rsidRPr="006724F7">
              <w:rPr>
                <w:rFonts w:ascii="Arial" w:hAnsi="Arial" w:cs="Arial"/>
                <w:lang w:val="nl-NL"/>
              </w:rPr>
              <w:t>;</w:t>
            </w:r>
          </w:p>
        </w:tc>
      </w:tr>
      <w:tr w:rsidR="00E94D80" w:rsidRPr="00A827F1" w14:paraId="3DDDFF81" w14:textId="77777777" w:rsidTr="005F50EE">
        <w:tc>
          <w:tcPr>
            <w:tcW w:w="5104" w:type="dxa"/>
          </w:tcPr>
          <w:p w14:paraId="7AD3DE97"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2D0F4530"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41A7F320" w14:textId="77777777" w:rsidTr="005F50EE">
        <w:tc>
          <w:tcPr>
            <w:tcW w:w="5104" w:type="dxa"/>
          </w:tcPr>
          <w:p w14:paraId="089FD321" w14:textId="09A2FB63" w:rsidR="00E94D80" w:rsidRPr="009B50C8"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fr-FR"/>
              </w:rPr>
            </w:pPr>
            <w:r w:rsidRPr="009B50C8">
              <w:rPr>
                <w:rFonts w:ascii="Arial" w:hAnsi="Arial" w:cs="Arial"/>
                <w:lang w:val="fr-FR"/>
              </w:rPr>
              <w:t>un alinéa qui concerne une duplication inutile de ce qui est prévu à l’article 40 de la loi coordonnée du 14 juillet 1994 est également supprimé.</w:t>
            </w:r>
          </w:p>
        </w:tc>
        <w:tc>
          <w:tcPr>
            <w:tcW w:w="5104" w:type="dxa"/>
          </w:tcPr>
          <w:p w14:paraId="7673559A" w14:textId="77777777" w:rsidR="00E94D80" w:rsidRPr="00EE6F91" w:rsidRDefault="00E94D80" w:rsidP="00E94D80">
            <w:pPr>
              <w:pStyle w:val="Lijstalinea"/>
              <w:numPr>
                <w:ilvl w:val="0"/>
                <w:numId w:val="3"/>
              </w:numPr>
              <w:tabs>
                <w:tab w:val="left" w:pos="4468"/>
                <w:tab w:val="left" w:pos="5643"/>
                <w:tab w:val="left" w:pos="9747"/>
              </w:tabs>
              <w:spacing w:after="0" w:line="240" w:lineRule="auto"/>
              <w:ind w:left="250" w:hanging="142"/>
              <w:jc w:val="both"/>
              <w:rPr>
                <w:rFonts w:ascii="Arial" w:hAnsi="Arial" w:cs="Arial"/>
                <w:lang w:val="nl-NL"/>
              </w:rPr>
            </w:pPr>
            <w:r w:rsidRPr="006724F7">
              <w:rPr>
                <w:rFonts w:ascii="Arial" w:hAnsi="Arial" w:cs="Arial"/>
                <w:lang w:val="nl-NL"/>
              </w:rPr>
              <w:t>er wordt tevens een lid geschrapt dat een overbodige doublure betreft van wat bepaald wordt in artikel 40 van de gecoördineerde wet van 14 juli 1994.</w:t>
            </w:r>
          </w:p>
        </w:tc>
      </w:tr>
      <w:tr w:rsidR="00E94D80" w:rsidRPr="00A827F1" w14:paraId="53403FDE" w14:textId="77777777" w:rsidTr="005F50EE">
        <w:tc>
          <w:tcPr>
            <w:tcW w:w="5104" w:type="dxa"/>
          </w:tcPr>
          <w:p w14:paraId="6326E7F7"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669DEAA9"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EE6F91" w14:paraId="35F694C9" w14:textId="77777777" w:rsidTr="005F50EE">
        <w:tc>
          <w:tcPr>
            <w:tcW w:w="5104" w:type="dxa"/>
          </w:tcPr>
          <w:p w14:paraId="62DF05C2" w14:textId="2B554947" w:rsidR="00E94D80" w:rsidRPr="00EE6F91" w:rsidRDefault="00E94D80" w:rsidP="00E94D8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w:t>
            </w:r>
          </w:p>
        </w:tc>
        <w:tc>
          <w:tcPr>
            <w:tcW w:w="5104" w:type="dxa"/>
          </w:tcPr>
          <w:p w14:paraId="20ECC2B6" w14:textId="3F615766" w:rsidR="00E94D80" w:rsidRPr="00EE6F91" w:rsidRDefault="00E94D80" w:rsidP="00E94D8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w:t>
            </w:r>
          </w:p>
        </w:tc>
      </w:tr>
      <w:tr w:rsidR="00E94D80" w:rsidRPr="00EE6F91" w14:paraId="59B05683" w14:textId="77777777" w:rsidTr="005F50EE">
        <w:tc>
          <w:tcPr>
            <w:tcW w:w="5104" w:type="dxa"/>
          </w:tcPr>
          <w:p w14:paraId="4E5F8642"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41AE6047"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477C89" w:rsidRPr="00A827F1" w14:paraId="6AF9DC80" w14:textId="77777777" w:rsidTr="005F50EE">
        <w:tc>
          <w:tcPr>
            <w:tcW w:w="5104" w:type="dxa"/>
          </w:tcPr>
          <w:p w14:paraId="007D432D" w14:textId="0BB57271" w:rsidR="00477C89" w:rsidRPr="00BE7B53" w:rsidRDefault="00477C89" w:rsidP="00477C89">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 xml:space="preserve">Le Conseil général reste compétent en dernier ressort pour déterminer le budget des soins de </w:t>
            </w:r>
            <w:r w:rsidRPr="00BE7B53">
              <w:rPr>
                <w:rFonts w:ascii="Arial" w:hAnsi="Arial" w:cs="Arial"/>
                <w:lang w:val="fr-FR"/>
              </w:rPr>
              <w:lastRenderedPageBreak/>
              <w:t xml:space="preserve">santé, dans et hors objectif. Il peut le faire sur base du projet de budget approuvé par le Conseil des ministres –qui doit </w:t>
            </w:r>
            <w:r>
              <w:rPr>
                <w:rFonts w:ascii="Arial" w:hAnsi="Arial" w:cs="Arial"/>
                <w:lang w:val="fr-FR"/>
              </w:rPr>
              <w:t xml:space="preserve">ensuite encore </w:t>
            </w:r>
            <w:r w:rsidRPr="00BE7B53">
              <w:rPr>
                <w:rFonts w:ascii="Arial" w:hAnsi="Arial" w:cs="Arial"/>
                <w:lang w:val="fr-FR"/>
              </w:rPr>
              <w:t xml:space="preserve">être mis à la disposition des membres du Conseil général </w:t>
            </w:r>
            <w:r>
              <w:rPr>
                <w:rFonts w:ascii="Arial" w:hAnsi="Arial" w:cs="Arial"/>
                <w:lang w:val="fr-FR"/>
              </w:rPr>
              <w:t>ce même jour</w:t>
            </w:r>
            <w:r w:rsidRPr="00BE7B53">
              <w:rPr>
                <w:rFonts w:ascii="Arial" w:hAnsi="Arial" w:cs="Arial"/>
                <w:lang w:val="fr-FR"/>
              </w:rPr>
              <w:t xml:space="preserve"> et peut, le cas échéant, être présenté par un représentant Affaires sociales de l’autorité – ou, à défaut, sur base de la proposition du Comité de l’assurance en ce qui concerne l’objectif budgétaire (à laquelle se rajoute par le Conseil général ensuite la partie hors objectif). Cependant, le Conseil général peut donc toujours lui-même prendre la décision finale sur le budget des soins de santé (et donc s’il le juge nécessaire, également modifier un projet/une proposition antérieure)</w:t>
            </w:r>
            <w:r>
              <w:rPr>
                <w:rFonts w:ascii="Arial" w:hAnsi="Arial" w:cs="Arial"/>
                <w:lang w:val="fr-FR"/>
              </w:rPr>
              <w:t>, tout en restant bien sûr dans les limites budgétaires</w:t>
            </w:r>
            <w:r w:rsidRPr="00BE7B53">
              <w:rPr>
                <w:rFonts w:ascii="Arial" w:hAnsi="Arial" w:cs="Arial"/>
                <w:lang w:val="fr-FR"/>
              </w:rPr>
              <w:t xml:space="preserve">. </w:t>
            </w:r>
          </w:p>
          <w:p w14:paraId="5CF3CDCF" w14:textId="054C7AE8" w:rsidR="00477C89" w:rsidRPr="00BE7B53"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02B5F76" w14:textId="3C43A4D2"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A50F53">
              <w:rPr>
                <w:rFonts w:ascii="Arial" w:hAnsi="Arial" w:cs="Arial"/>
                <w:lang w:val="nl-NL"/>
              </w:rPr>
              <w:lastRenderedPageBreak/>
              <w:t xml:space="preserve">De Algemene Raad blijft uiteindelijk bevoegd om de gezondheidszorgbegroting -deel binnen en buiten </w:t>
            </w:r>
            <w:r w:rsidRPr="00A50F53">
              <w:rPr>
                <w:rFonts w:ascii="Arial" w:hAnsi="Arial" w:cs="Arial"/>
                <w:lang w:val="nl-NL"/>
              </w:rPr>
              <w:lastRenderedPageBreak/>
              <w:t xml:space="preserve">doelstelling- vast te stellen. Het kan dit doen vertrekkende vanuit het begrotingsontwerp goedgekeurd door de </w:t>
            </w:r>
            <w:r>
              <w:rPr>
                <w:rFonts w:ascii="Arial" w:hAnsi="Arial" w:cs="Arial"/>
                <w:lang w:val="nl-NL"/>
              </w:rPr>
              <w:t>M</w:t>
            </w:r>
            <w:r w:rsidRPr="00A50F53">
              <w:rPr>
                <w:rFonts w:ascii="Arial" w:hAnsi="Arial" w:cs="Arial"/>
                <w:lang w:val="nl-NL"/>
              </w:rPr>
              <w:t xml:space="preserve">inisterraad –dat </w:t>
            </w:r>
            <w:r>
              <w:rPr>
                <w:rFonts w:ascii="Arial" w:hAnsi="Arial" w:cs="Arial"/>
                <w:lang w:val="nl-NL"/>
              </w:rPr>
              <w:t>erna nog op diezelfde dag</w:t>
            </w:r>
            <w:r w:rsidRPr="00A50F53">
              <w:rPr>
                <w:rFonts w:ascii="Arial" w:hAnsi="Arial" w:cs="Arial"/>
                <w:lang w:val="nl-NL"/>
              </w:rPr>
              <w:t xml:space="preserve"> voor de leden van </w:t>
            </w:r>
            <w:r>
              <w:rPr>
                <w:rFonts w:ascii="Arial" w:hAnsi="Arial" w:cs="Arial"/>
                <w:lang w:val="nl-NL"/>
              </w:rPr>
              <w:t>de Algemene Raad</w:t>
            </w:r>
            <w:r w:rsidRPr="00A50F53">
              <w:rPr>
                <w:rFonts w:ascii="Arial" w:hAnsi="Arial" w:cs="Arial"/>
                <w:lang w:val="nl-NL"/>
              </w:rPr>
              <w:t xml:space="preserve"> beschikbaar moet zijn en desgevallend kan worden toegelicht door </w:t>
            </w:r>
            <w:r>
              <w:rPr>
                <w:rFonts w:ascii="Arial" w:hAnsi="Arial" w:cs="Arial"/>
                <w:lang w:val="nl-NL"/>
              </w:rPr>
              <w:t>een</w:t>
            </w:r>
            <w:r w:rsidRPr="00A50F53">
              <w:rPr>
                <w:rFonts w:ascii="Arial" w:hAnsi="Arial" w:cs="Arial"/>
                <w:lang w:val="nl-NL"/>
              </w:rPr>
              <w:t xml:space="preserve"> vertegenwoordiger sociale zaken van de overheid– of bij gebrek daaraan vertrekkende vanuit het voorstel van het Verzekeringscomité betreffende de begrotingsdoelstelling (waaraan dan het deel buiten doelstelling door de Algemene Raad wordt toegevoegd). De Algemene Raad kan dus steeds finaal zelf beslissen over de gezondheidszorgbegroting (en indien het dit nodig acht dus ook een eerder ontwerp/voorstel amenderen)</w:t>
            </w:r>
            <w:r>
              <w:rPr>
                <w:rFonts w:ascii="Arial" w:hAnsi="Arial" w:cs="Arial"/>
                <w:lang w:val="nl-NL"/>
              </w:rPr>
              <w:t>, waarbij er uiteraard wel binnen de budgettaire grenzen dient te worden gebleven</w:t>
            </w:r>
            <w:r w:rsidRPr="00A50F53">
              <w:rPr>
                <w:rFonts w:ascii="Arial" w:hAnsi="Arial" w:cs="Arial"/>
                <w:lang w:val="nl-NL"/>
              </w:rPr>
              <w:t xml:space="preserve">. </w:t>
            </w:r>
          </w:p>
        </w:tc>
      </w:tr>
      <w:tr w:rsidR="00E94D80" w:rsidRPr="00A827F1" w14:paraId="4A967E64" w14:textId="77777777" w:rsidTr="005F50EE">
        <w:tc>
          <w:tcPr>
            <w:tcW w:w="5104" w:type="dxa"/>
          </w:tcPr>
          <w:p w14:paraId="0E8D01E8"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c>
          <w:tcPr>
            <w:tcW w:w="5104" w:type="dxa"/>
          </w:tcPr>
          <w:p w14:paraId="528EC7DE" w14:textId="77777777"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p>
        </w:tc>
      </w:tr>
      <w:tr w:rsidR="00E94D80" w:rsidRPr="00A827F1" w14:paraId="33B95B9D" w14:textId="77777777" w:rsidTr="005F50EE">
        <w:tc>
          <w:tcPr>
            <w:tcW w:w="5104" w:type="dxa"/>
          </w:tcPr>
          <w:p w14:paraId="0A7BAE01" w14:textId="6213BE37" w:rsidR="00E94D80" w:rsidRPr="009B50C8" w:rsidRDefault="00E94D80" w:rsidP="00E94D80">
            <w:pPr>
              <w:tabs>
                <w:tab w:val="left" w:pos="4468"/>
                <w:tab w:val="left" w:pos="5643"/>
                <w:tab w:val="left" w:pos="9747"/>
              </w:tabs>
              <w:spacing w:after="0" w:line="240" w:lineRule="auto"/>
              <w:jc w:val="both"/>
              <w:rPr>
                <w:rFonts w:ascii="Arial" w:hAnsi="Arial" w:cs="Arial"/>
                <w:lang w:val="fr-FR"/>
              </w:rPr>
            </w:pPr>
            <w:r w:rsidRPr="00BE7B53">
              <w:rPr>
                <w:rFonts w:ascii="Arial" w:hAnsi="Arial" w:cs="Arial"/>
                <w:lang w:val="fr-FR"/>
              </w:rPr>
              <w:t>Enfin, par souci de transparence, il est précisé aux paragraphes 1 et 2 que les compétences respectives du Conseil général et du Conseil des ministres (en fonction d’où se trouve le dossier budgétaire) en ce qui concerne le budget des soins de santé comprennent l’ensemble du budget des missions relatives aux soins de santé. Cela comprend les parties suivantes : l’objectif budgétaire annuel global, les objectifs budgétaires annuels partiels et la partie hors objectif budgétaire annuel global.</w:t>
            </w:r>
          </w:p>
        </w:tc>
        <w:tc>
          <w:tcPr>
            <w:tcW w:w="5104" w:type="dxa"/>
          </w:tcPr>
          <w:p w14:paraId="45CF1083" w14:textId="535CB646" w:rsidR="00E94D80" w:rsidRPr="00EE6F91" w:rsidRDefault="00E94D80" w:rsidP="00E94D80">
            <w:pPr>
              <w:tabs>
                <w:tab w:val="left" w:pos="4468"/>
                <w:tab w:val="left" w:pos="5643"/>
                <w:tab w:val="left" w:pos="9747"/>
              </w:tabs>
              <w:spacing w:after="0" w:line="240" w:lineRule="auto"/>
              <w:jc w:val="both"/>
              <w:rPr>
                <w:rFonts w:ascii="Arial" w:hAnsi="Arial" w:cs="Arial"/>
                <w:lang w:val="nl-NL"/>
              </w:rPr>
            </w:pPr>
            <w:r w:rsidRPr="00A50F53">
              <w:rPr>
                <w:rFonts w:ascii="Arial" w:hAnsi="Arial" w:cs="Arial"/>
                <w:lang w:val="nl-NL"/>
              </w:rPr>
              <w:t>Tenslotte wordt ter transparantie verduidelijkt in zowel paragraaf 1 als 2 dat de bevoegdheden van respectievelijk de Algemene Raad en de Ministerraad (in functie van waar het begrotingsdossier zich bevindt) m.b.t. de begroting voor geneeskundige verzorging de volledige opdrachtenbegroting geneeskundige verzorging omvatten. Hierin zijn de volgende onderdelen inbegrepen: de globale jaarlijkse begrotingsdoelstelling, de partiële jaarlijkse begrotingsdoelstellingen en het deel buiten de globale jaarlijkse begrotingsdoelstelling.</w:t>
            </w:r>
          </w:p>
        </w:tc>
      </w:tr>
      <w:tr w:rsidR="00477C89" w:rsidRPr="00A827F1" w14:paraId="37C7508C" w14:textId="77777777" w:rsidTr="005F50EE">
        <w:tc>
          <w:tcPr>
            <w:tcW w:w="5104" w:type="dxa"/>
          </w:tcPr>
          <w:p w14:paraId="68FC70B2"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77C54A0" w14:textId="5670CDE1"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2C5B215" w14:textId="77777777" w:rsidTr="005F50EE">
        <w:tc>
          <w:tcPr>
            <w:tcW w:w="5104" w:type="dxa"/>
          </w:tcPr>
          <w:p w14:paraId="54455BB9" w14:textId="00406149" w:rsidR="00477C89" w:rsidRPr="00DF4489" w:rsidRDefault="00477C89" w:rsidP="00477C89">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X+1</w:t>
            </w:r>
            <w:r w:rsidRPr="00DF4489">
              <w:rPr>
                <w:rFonts w:ascii="Arial" w:eastAsia="Times New Roman" w:hAnsi="Arial" w:cs="Arial"/>
                <w:b/>
                <w:i/>
                <w:lang w:val="fr-FR"/>
              </w:rPr>
              <w:t xml:space="preserve"> – </w:t>
            </w:r>
            <w:r>
              <w:rPr>
                <w:rFonts w:ascii="Arial" w:eastAsia="Times New Roman" w:hAnsi="Arial" w:cs="Arial"/>
                <w:b/>
                <w:i/>
                <w:lang w:val="fr-FR"/>
              </w:rPr>
              <w:t>Accords entre les dispensateurs de soins et les organismes assureurs</w:t>
            </w:r>
          </w:p>
        </w:tc>
        <w:tc>
          <w:tcPr>
            <w:tcW w:w="5104" w:type="dxa"/>
          </w:tcPr>
          <w:p w14:paraId="03DCA57F" w14:textId="105AAED6" w:rsidR="00477C89" w:rsidRPr="00371224" w:rsidRDefault="00477C89" w:rsidP="00477C89">
            <w:pPr>
              <w:spacing w:after="0" w:line="240" w:lineRule="auto"/>
              <w:jc w:val="center"/>
              <w:outlineLvl w:val="0"/>
              <w:rPr>
                <w:rFonts w:ascii="Arial" w:eastAsia="Times New Roman" w:hAnsi="Arial" w:cs="Arial"/>
                <w:i/>
                <w:lang w:val="nl-NL"/>
              </w:rPr>
            </w:pPr>
            <w:commentRangeStart w:id="2"/>
            <w:r w:rsidRPr="00DF4489">
              <w:rPr>
                <w:rFonts w:ascii="Arial" w:eastAsia="Times New Roman" w:hAnsi="Arial" w:cs="Arial"/>
                <w:b/>
                <w:i/>
                <w:lang w:val="nl-BE"/>
              </w:rPr>
              <w:t xml:space="preserve">Afdeling </w:t>
            </w:r>
            <w:r>
              <w:rPr>
                <w:rFonts w:ascii="Arial" w:eastAsia="Times New Roman" w:hAnsi="Arial" w:cs="Arial"/>
                <w:b/>
                <w:i/>
                <w:lang w:val="nl-BE"/>
              </w:rPr>
              <w:t>X+1</w:t>
            </w:r>
            <w:r w:rsidRPr="00DF4489">
              <w:rPr>
                <w:rFonts w:ascii="Arial" w:eastAsia="Times New Roman" w:hAnsi="Arial" w:cs="Arial"/>
                <w:b/>
                <w:i/>
                <w:lang w:val="nl-BE"/>
              </w:rPr>
              <w:t xml:space="preserve"> -</w:t>
            </w:r>
            <w:r w:rsidRPr="00720A5F">
              <w:rPr>
                <w:lang w:val="nl-NL"/>
              </w:rPr>
              <w:t xml:space="preserve"> </w:t>
            </w:r>
            <w:r w:rsidRPr="00720A5F">
              <w:rPr>
                <w:rFonts w:ascii="Arial" w:eastAsia="Times New Roman" w:hAnsi="Arial" w:cs="Arial"/>
                <w:b/>
                <w:i/>
                <w:lang w:val="nl-BE"/>
              </w:rPr>
              <w:t>Akkoorden tussen zorgverleners en verzekeringsinstellingen</w:t>
            </w:r>
            <w:r w:rsidRPr="00371224">
              <w:rPr>
                <w:lang w:val="nl-NL"/>
              </w:rPr>
              <w:t xml:space="preserve"> </w:t>
            </w:r>
            <w:commentRangeEnd w:id="2"/>
            <w:r>
              <w:rPr>
                <w:rStyle w:val="Verwijzingopmerking"/>
              </w:rPr>
              <w:commentReference w:id="2"/>
            </w:r>
          </w:p>
        </w:tc>
      </w:tr>
      <w:tr w:rsidR="00477C89" w:rsidRPr="00A827F1" w14:paraId="0E59C13E" w14:textId="77777777" w:rsidTr="005F50EE">
        <w:tc>
          <w:tcPr>
            <w:tcW w:w="5104" w:type="dxa"/>
          </w:tcPr>
          <w:p w14:paraId="040FF7B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39DF8AC"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B5DC921" w14:textId="77777777" w:rsidTr="005F50EE">
        <w:tc>
          <w:tcPr>
            <w:tcW w:w="5104" w:type="dxa"/>
          </w:tcPr>
          <w:p w14:paraId="24572A96" w14:textId="0A16EC5A"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En exécution de l’accord de gouvernement fédéral, un nouveau modèle de conventionnement est proposé. Les règles concernant les accords pour les médecins et les dentistes d’une part et les conventions pour les autres dispensateurs de soins d’autre part sont harmonisées et simplifiées. </w:t>
            </w:r>
            <w:r w:rsidRPr="00962B0D">
              <w:rPr>
                <w:rFonts w:ascii="Arial" w:eastAsia="Times New Roman" w:hAnsi="Arial" w:cs="Arial"/>
                <w:lang w:val="fr-FR"/>
              </w:rPr>
              <w:t>La terminologie est uniformisée. Pour tous les secteurs, les termes « accords » et « commissions d’accords » seront désormais utilisés.</w:t>
            </w:r>
            <w:r>
              <w:rPr>
                <w:rFonts w:ascii="Arial" w:eastAsia="Times New Roman" w:hAnsi="Arial" w:cs="Arial"/>
                <w:lang w:val="fr-FR"/>
              </w:rPr>
              <w:t xml:space="preserve"> </w:t>
            </w:r>
            <w:r w:rsidRPr="00DC7990">
              <w:rPr>
                <w:rFonts w:ascii="Arial" w:eastAsia="Times New Roman" w:hAnsi="Arial" w:cs="Arial"/>
                <w:lang w:val="fr-FR"/>
              </w:rPr>
              <w:t xml:space="preserve">Il est prévu un schéma </w:t>
            </w:r>
            <w:r>
              <w:rPr>
                <w:rFonts w:ascii="Arial" w:eastAsia="Times New Roman" w:hAnsi="Arial" w:cs="Arial"/>
                <w:lang w:val="fr-FR"/>
              </w:rPr>
              <w:t>temporel</w:t>
            </w:r>
            <w:r w:rsidRPr="00DC7990">
              <w:rPr>
                <w:rFonts w:ascii="Arial" w:eastAsia="Times New Roman" w:hAnsi="Arial" w:cs="Arial"/>
                <w:lang w:val="fr-FR"/>
              </w:rPr>
              <w:t xml:space="preserve"> strict pour la conclusion et l’approbation des accords. Si aucun accord n’a été approuvé par le Comité de l’assurance et le Conseil général au 31 décembre, le Comité de l’assurance peut établir un document à soumettre aux dispensateurs de soins concernés en vue de leur adhésion. Si</w:t>
            </w:r>
            <w:r>
              <w:rPr>
                <w:rFonts w:ascii="Arial" w:eastAsia="Times New Roman" w:hAnsi="Arial" w:cs="Arial"/>
                <w:lang w:val="fr-FR"/>
              </w:rPr>
              <w:t>,</w:t>
            </w:r>
            <w:r w:rsidRPr="00DC7990">
              <w:rPr>
                <w:rFonts w:ascii="Arial" w:eastAsia="Times New Roman" w:hAnsi="Arial" w:cs="Arial"/>
                <w:lang w:val="fr-FR"/>
              </w:rPr>
              <w:t xml:space="preserve"> au 31 janvier,</w:t>
            </w:r>
            <w:r>
              <w:rPr>
                <w:rFonts w:ascii="Arial" w:eastAsia="Times New Roman" w:hAnsi="Arial" w:cs="Arial"/>
                <w:lang w:val="fr-FR"/>
              </w:rPr>
              <w:t xml:space="preserve"> aucun document n’a été établi par le Comité de l’assurance et approuvé </w:t>
            </w:r>
            <w:r>
              <w:rPr>
                <w:rFonts w:ascii="Arial" w:eastAsia="Times New Roman" w:hAnsi="Arial" w:cs="Arial"/>
                <w:lang w:val="fr-FR"/>
              </w:rPr>
              <w:lastRenderedPageBreak/>
              <w:t>par le Conseil général,</w:t>
            </w:r>
            <w:r w:rsidRPr="00DC7990">
              <w:rPr>
                <w:rFonts w:ascii="Arial" w:eastAsia="Times New Roman" w:hAnsi="Arial" w:cs="Arial"/>
                <w:lang w:val="fr-FR"/>
              </w:rPr>
              <w:t xml:space="preserve"> </w:t>
            </w:r>
            <w:r>
              <w:rPr>
                <w:rFonts w:ascii="Arial" w:eastAsia="Times New Roman" w:hAnsi="Arial" w:cs="Arial"/>
                <w:lang w:val="fr-FR"/>
              </w:rPr>
              <w:t>le Comité de l’assurance</w:t>
            </w:r>
            <w:r w:rsidRPr="00DC7990">
              <w:rPr>
                <w:rFonts w:ascii="Arial" w:eastAsia="Times New Roman" w:hAnsi="Arial" w:cs="Arial"/>
                <w:lang w:val="fr-FR"/>
              </w:rPr>
              <w:t xml:space="preserve"> perd sa compétence en la matière et le Ministre des Affaires sociales peut établir un tel document</w:t>
            </w:r>
            <w:r>
              <w:rPr>
                <w:rFonts w:ascii="Arial" w:eastAsia="Times New Roman" w:hAnsi="Arial" w:cs="Arial"/>
                <w:lang w:val="fr-FR"/>
              </w:rPr>
              <w:t xml:space="preserve"> dans le courant du mois de février</w:t>
            </w:r>
            <w:r w:rsidRPr="00DC7990">
              <w:rPr>
                <w:rFonts w:ascii="Arial" w:eastAsia="Times New Roman" w:hAnsi="Arial" w:cs="Arial"/>
                <w:lang w:val="fr-FR"/>
              </w:rPr>
              <w:t xml:space="preserve">. </w:t>
            </w:r>
            <w:r w:rsidRPr="00962B0D">
              <w:rPr>
                <w:rFonts w:ascii="Arial" w:eastAsia="Times New Roman" w:hAnsi="Arial" w:cs="Arial"/>
                <w:lang w:val="fr-FR"/>
              </w:rPr>
              <w:t xml:space="preserve">Ce document doit, au plus tard le dernier jour de février, être approuvé par le Conseil général. </w:t>
            </w:r>
            <w:r w:rsidR="00B66D7D" w:rsidRPr="00B66D7D">
              <w:rPr>
                <w:rFonts w:ascii="Arial" w:eastAsia="Times New Roman" w:hAnsi="Arial" w:cs="Arial"/>
                <w:lang w:val="fr-FR"/>
              </w:rPr>
              <w:t>Les accords et documents approuvés sont ensuite soumis au Conseil des ministres pour accord.</w:t>
            </w:r>
          </w:p>
        </w:tc>
        <w:tc>
          <w:tcPr>
            <w:tcW w:w="5104" w:type="dxa"/>
          </w:tcPr>
          <w:p w14:paraId="3F0985C6" w14:textId="2C75E6ED"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lastRenderedPageBreak/>
              <w:t xml:space="preserve">In uitvoering van het regeerakkoord wordt een nieuw conventiemodel voorgesteld. De regels inzake de akkoorden voor artsen en tandartsen enerzijds en de overeenkomsten voor andere zorgverleners anderzijds worden geharmoniseerd en vereenvoudigd. </w:t>
            </w:r>
            <w:r w:rsidRPr="00962B0D">
              <w:rPr>
                <w:rFonts w:ascii="Arial" w:eastAsia="Times New Roman" w:hAnsi="Arial" w:cs="Arial"/>
                <w:lang w:val="nl-NL"/>
              </w:rPr>
              <w:t>De terminologie wordt ge</w:t>
            </w:r>
            <w:r>
              <w:rPr>
                <w:rFonts w:ascii="Arial" w:eastAsia="Times New Roman" w:hAnsi="Arial" w:cs="Arial"/>
                <w:lang w:val="nl-NL"/>
              </w:rPr>
              <w:t>ü</w:t>
            </w:r>
            <w:r w:rsidRPr="00962B0D">
              <w:rPr>
                <w:rFonts w:ascii="Arial" w:eastAsia="Times New Roman" w:hAnsi="Arial" w:cs="Arial"/>
                <w:lang w:val="nl-NL"/>
              </w:rPr>
              <w:t>niformiseerd. Voor alle sectoren zullen voortaan de termen “akkoorden” en “akkoordencommissies” worden gebruikt.</w:t>
            </w:r>
            <w:r w:rsidRPr="00720A5F">
              <w:rPr>
                <w:rFonts w:ascii="Arial" w:eastAsia="Times New Roman" w:hAnsi="Arial" w:cs="Arial"/>
                <w:lang w:val="nl-NL"/>
              </w:rPr>
              <w:t xml:space="preserve"> </w:t>
            </w:r>
            <w:r w:rsidRPr="004722CA">
              <w:rPr>
                <w:rFonts w:ascii="Arial" w:eastAsia="Times New Roman" w:hAnsi="Arial" w:cs="Arial"/>
                <w:lang w:val="nl-NL"/>
              </w:rPr>
              <w:t xml:space="preserve">Er wordt voorzien in een strikt tijdsschema voor het sluiten en goedkeuren van de akkoorden. Als er op 31 december geen akkoord is goedgekeurd door het Verzekeringscomité en de Algemene raad, kan het Verzekeringscomité een document vaststellen dat ter toetreding wordt voorgelegd aan de betrokken zorgverleners. Als </w:t>
            </w:r>
            <w:r>
              <w:rPr>
                <w:rFonts w:ascii="Arial" w:eastAsia="Times New Roman" w:hAnsi="Arial" w:cs="Arial"/>
                <w:lang w:val="nl-NL"/>
              </w:rPr>
              <w:t>er</w:t>
            </w:r>
            <w:r w:rsidRPr="004722CA">
              <w:rPr>
                <w:rFonts w:ascii="Arial" w:eastAsia="Times New Roman" w:hAnsi="Arial" w:cs="Arial"/>
                <w:lang w:val="nl-NL"/>
              </w:rPr>
              <w:t xml:space="preserve"> op 31 januari geen document </w:t>
            </w:r>
            <w:r>
              <w:rPr>
                <w:rFonts w:ascii="Arial" w:eastAsia="Times New Roman" w:hAnsi="Arial" w:cs="Arial"/>
                <w:lang w:val="nl-NL"/>
              </w:rPr>
              <w:t>is</w:t>
            </w:r>
            <w:r w:rsidRPr="004722CA">
              <w:rPr>
                <w:rFonts w:ascii="Arial" w:eastAsia="Times New Roman" w:hAnsi="Arial" w:cs="Arial"/>
                <w:lang w:val="nl-NL"/>
              </w:rPr>
              <w:t xml:space="preserve"> vastgesteld</w:t>
            </w:r>
            <w:r>
              <w:rPr>
                <w:rFonts w:ascii="Arial" w:eastAsia="Times New Roman" w:hAnsi="Arial" w:cs="Arial"/>
                <w:lang w:val="nl-NL"/>
              </w:rPr>
              <w:t xml:space="preserve"> door het Verzekeringscomité en </w:t>
            </w:r>
            <w:r>
              <w:rPr>
                <w:rFonts w:ascii="Arial" w:eastAsia="Times New Roman" w:hAnsi="Arial" w:cs="Arial"/>
                <w:lang w:val="nl-NL"/>
              </w:rPr>
              <w:lastRenderedPageBreak/>
              <w:t>goedgekeurd door de Algemene raad</w:t>
            </w:r>
            <w:r w:rsidRPr="004722CA">
              <w:rPr>
                <w:rFonts w:ascii="Arial" w:eastAsia="Times New Roman" w:hAnsi="Arial" w:cs="Arial"/>
                <w:lang w:val="nl-NL"/>
              </w:rPr>
              <w:t xml:space="preserve">, verliest het </w:t>
            </w:r>
            <w:r>
              <w:rPr>
                <w:rFonts w:ascii="Arial" w:eastAsia="Times New Roman" w:hAnsi="Arial" w:cs="Arial"/>
                <w:lang w:val="nl-NL"/>
              </w:rPr>
              <w:t xml:space="preserve">Verzekeringscomité </w:t>
            </w:r>
            <w:r w:rsidRPr="004722CA">
              <w:rPr>
                <w:rFonts w:ascii="Arial" w:eastAsia="Times New Roman" w:hAnsi="Arial" w:cs="Arial"/>
                <w:lang w:val="nl-NL"/>
              </w:rPr>
              <w:t xml:space="preserve">zijn bevoegdheid ter zake en kan de Minister van Sociale zaken </w:t>
            </w:r>
            <w:r>
              <w:rPr>
                <w:rFonts w:ascii="Arial" w:eastAsia="Times New Roman" w:hAnsi="Arial" w:cs="Arial"/>
                <w:lang w:val="nl-NL"/>
              </w:rPr>
              <w:t xml:space="preserve">in de loop van februari </w:t>
            </w:r>
            <w:r w:rsidRPr="004722CA">
              <w:rPr>
                <w:rFonts w:ascii="Arial" w:eastAsia="Times New Roman" w:hAnsi="Arial" w:cs="Arial"/>
                <w:lang w:val="nl-NL"/>
              </w:rPr>
              <w:t xml:space="preserve">een dergelijk document vaststellen. </w:t>
            </w:r>
            <w:r w:rsidRPr="00B3003D">
              <w:rPr>
                <w:rFonts w:ascii="Arial" w:eastAsia="Times New Roman" w:hAnsi="Arial" w:cs="Arial"/>
                <w:lang w:val="nl-NL"/>
              </w:rPr>
              <w:t xml:space="preserve">Dat document moet ten laatste op de laatste dag van februari worden goedgekeurd door de Algemene raad. </w:t>
            </w:r>
            <w:r w:rsidR="00B66D7D" w:rsidRPr="00B66D7D">
              <w:rPr>
                <w:rFonts w:ascii="Arial" w:eastAsia="Times New Roman" w:hAnsi="Arial" w:cs="Arial"/>
                <w:lang w:val="nl-NL"/>
              </w:rPr>
              <w:t>De goedgekeurde akkoorden en documenten worden vervolgens voor akkoord voorgelegd aan de Ministerraad.</w:t>
            </w:r>
          </w:p>
        </w:tc>
      </w:tr>
      <w:tr w:rsidR="00477C89" w:rsidRPr="00A827F1" w14:paraId="26EA508C" w14:textId="77777777" w:rsidTr="005F50EE">
        <w:tc>
          <w:tcPr>
            <w:tcW w:w="5104" w:type="dxa"/>
          </w:tcPr>
          <w:p w14:paraId="07F9ECC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9FD567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2010155" w14:textId="77777777" w:rsidTr="005F50EE">
        <w:tc>
          <w:tcPr>
            <w:tcW w:w="5104" w:type="dxa"/>
          </w:tcPr>
          <w:p w14:paraId="5B70F02A" w14:textId="1F532E00"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Le projet prévoit également que les </w:t>
            </w:r>
            <w:r>
              <w:rPr>
                <w:rFonts w:ascii="Arial" w:eastAsia="Times New Roman" w:hAnsi="Arial" w:cs="Arial"/>
                <w:lang w:val="fr-FR"/>
              </w:rPr>
              <w:t>accords</w:t>
            </w:r>
            <w:r w:rsidRPr="00DC7990">
              <w:rPr>
                <w:rFonts w:ascii="Arial" w:eastAsia="Times New Roman" w:hAnsi="Arial" w:cs="Arial"/>
                <w:lang w:val="fr-FR"/>
              </w:rPr>
              <w:t xml:space="preserve"> et les documents qui sont établis par le Comité de l’assurance ou le Ministre, si aucun </w:t>
            </w:r>
            <w:r>
              <w:rPr>
                <w:rFonts w:ascii="Arial" w:eastAsia="Times New Roman" w:hAnsi="Arial" w:cs="Arial"/>
                <w:lang w:val="fr-FR"/>
              </w:rPr>
              <w:t>accord</w:t>
            </w:r>
            <w:r w:rsidRPr="00DC7990">
              <w:rPr>
                <w:rFonts w:ascii="Arial" w:eastAsia="Times New Roman" w:hAnsi="Arial" w:cs="Arial"/>
                <w:lang w:val="fr-FR"/>
              </w:rPr>
              <w:t xml:space="preserve"> n’est approuvé, </w:t>
            </w:r>
            <w:r>
              <w:rPr>
                <w:rFonts w:ascii="Arial" w:eastAsia="Times New Roman" w:hAnsi="Arial" w:cs="Arial"/>
                <w:lang w:val="fr-FR"/>
              </w:rPr>
              <w:t xml:space="preserve">pour tous les secteurs, </w:t>
            </w:r>
            <w:r w:rsidRPr="00DC7990">
              <w:rPr>
                <w:rFonts w:ascii="Arial" w:eastAsia="Times New Roman" w:hAnsi="Arial" w:cs="Arial"/>
                <w:lang w:val="fr-FR"/>
              </w:rPr>
              <w:t xml:space="preserve">n'entrent en vigueur que lorsqu'un certain pourcentage d'adhésion est atteint, comme c'est déjà le cas pour les accords </w:t>
            </w:r>
            <w:r>
              <w:rPr>
                <w:rFonts w:ascii="Arial" w:eastAsia="Times New Roman" w:hAnsi="Arial" w:cs="Arial"/>
                <w:lang w:val="fr-FR"/>
              </w:rPr>
              <w:t xml:space="preserve">avec les médecins et les dentistes </w:t>
            </w:r>
            <w:r w:rsidRPr="00DC7990">
              <w:rPr>
                <w:rFonts w:ascii="Arial" w:eastAsia="Times New Roman" w:hAnsi="Arial" w:cs="Arial"/>
                <w:lang w:val="fr-FR"/>
              </w:rPr>
              <w:t xml:space="preserve">et les documents que le Ministre fixe si aucun accord </w:t>
            </w:r>
            <w:r>
              <w:rPr>
                <w:rFonts w:ascii="Arial" w:eastAsia="Times New Roman" w:hAnsi="Arial" w:cs="Arial"/>
                <w:lang w:val="fr-FR"/>
              </w:rPr>
              <w:t xml:space="preserve">avec les médecins et les dentistes </w:t>
            </w:r>
            <w:r w:rsidRPr="00DC7990">
              <w:rPr>
                <w:rFonts w:ascii="Arial" w:eastAsia="Times New Roman" w:hAnsi="Arial" w:cs="Arial"/>
                <w:lang w:val="fr-FR"/>
              </w:rPr>
              <w:t>n'est approuvé. Si aucun accord ou aucun document n’est en vigueur, le Roi fixe les tarifs maximums que tous les dispensateurs de soins doivent respecter. Le Roi</w:t>
            </w:r>
            <w:r>
              <w:rPr>
                <w:rFonts w:ascii="Arial" w:eastAsia="Times New Roman" w:hAnsi="Arial" w:cs="Arial"/>
                <w:lang w:val="fr-FR"/>
              </w:rPr>
              <w:t xml:space="preserve"> peut</w:t>
            </w:r>
            <w:r w:rsidRPr="00DC7990">
              <w:rPr>
                <w:rFonts w:ascii="Arial" w:eastAsia="Times New Roman" w:hAnsi="Arial" w:cs="Arial"/>
                <w:lang w:val="fr-FR"/>
              </w:rPr>
              <w:t xml:space="preserve"> fixe</w:t>
            </w:r>
            <w:r>
              <w:rPr>
                <w:rFonts w:ascii="Arial" w:eastAsia="Times New Roman" w:hAnsi="Arial" w:cs="Arial"/>
                <w:lang w:val="fr-FR"/>
              </w:rPr>
              <w:t>r</w:t>
            </w:r>
            <w:r w:rsidRPr="00DC7990">
              <w:rPr>
                <w:rFonts w:ascii="Arial" w:eastAsia="Times New Roman" w:hAnsi="Arial" w:cs="Arial"/>
                <w:lang w:val="fr-FR"/>
              </w:rPr>
              <w:t xml:space="preserve"> dans ce cas également les montants qui servent de base de calcul à l’intervention de l’assurance.</w:t>
            </w:r>
          </w:p>
          <w:p w14:paraId="2732587E" w14:textId="74100139" w:rsidR="00477C89" w:rsidRPr="00DC7990" w:rsidRDefault="00477C89" w:rsidP="00477C89">
            <w:pPr>
              <w:spacing w:after="0" w:line="240" w:lineRule="auto"/>
              <w:jc w:val="both"/>
              <w:outlineLvl w:val="0"/>
              <w:rPr>
                <w:rFonts w:ascii="Arial" w:eastAsia="Times New Roman" w:hAnsi="Arial" w:cs="Arial"/>
                <w:lang w:val="fr-FR"/>
              </w:rPr>
            </w:pPr>
          </w:p>
        </w:tc>
        <w:tc>
          <w:tcPr>
            <w:tcW w:w="5104" w:type="dxa"/>
          </w:tcPr>
          <w:p w14:paraId="5179A021" w14:textId="5A35CED1"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t xml:space="preserve">Het ontwerp voorziet ook dat de </w:t>
            </w:r>
            <w:r>
              <w:rPr>
                <w:rFonts w:ascii="Arial" w:eastAsia="Times New Roman" w:hAnsi="Arial" w:cs="Arial"/>
                <w:lang w:val="nl-NL"/>
              </w:rPr>
              <w:t>akkoorden</w:t>
            </w:r>
            <w:r w:rsidRPr="004722CA">
              <w:rPr>
                <w:rFonts w:ascii="Arial" w:eastAsia="Times New Roman" w:hAnsi="Arial" w:cs="Arial"/>
                <w:lang w:val="nl-NL"/>
              </w:rPr>
              <w:t xml:space="preserve"> en de documenten die worden vastgesteld door het Verzekeringscomité of de Minister, als er geen </w:t>
            </w:r>
            <w:r>
              <w:rPr>
                <w:rFonts w:ascii="Arial" w:eastAsia="Times New Roman" w:hAnsi="Arial" w:cs="Arial"/>
                <w:lang w:val="nl-NL"/>
              </w:rPr>
              <w:t>akkoord</w:t>
            </w:r>
            <w:r w:rsidRPr="004722CA">
              <w:rPr>
                <w:rFonts w:ascii="Arial" w:eastAsia="Times New Roman" w:hAnsi="Arial" w:cs="Arial"/>
                <w:lang w:val="nl-NL"/>
              </w:rPr>
              <w:t xml:space="preserve"> wordt goedgekeurd, </w:t>
            </w:r>
            <w:r>
              <w:rPr>
                <w:rFonts w:ascii="Arial" w:eastAsia="Times New Roman" w:hAnsi="Arial" w:cs="Arial"/>
                <w:lang w:val="nl-NL"/>
              </w:rPr>
              <w:t xml:space="preserve">voor alle sectoren </w:t>
            </w:r>
            <w:r w:rsidRPr="004722CA">
              <w:rPr>
                <w:rFonts w:ascii="Arial" w:eastAsia="Times New Roman" w:hAnsi="Arial" w:cs="Arial"/>
                <w:lang w:val="nl-NL"/>
              </w:rPr>
              <w:t>pas in werking treden als een bepaald toetredingspercentage is bereikt, zoals dat al het geval is voor de akkoorden</w:t>
            </w:r>
            <w:r w:rsidRPr="00720A5F">
              <w:rPr>
                <w:lang w:val="nl-NL"/>
              </w:rPr>
              <w:t xml:space="preserve"> </w:t>
            </w:r>
            <w:r w:rsidRPr="00720A5F">
              <w:rPr>
                <w:rFonts w:ascii="Arial" w:eastAsia="Times New Roman" w:hAnsi="Arial" w:cs="Arial"/>
                <w:lang w:val="nl-NL"/>
              </w:rPr>
              <w:t>met de artsen en de tandheelkundigen</w:t>
            </w:r>
            <w:r w:rsidRPr="004722CA">
              <w:rPr>
                <w:rFonts w:ascii="Arial" w:eastAsia="Times New Roman" w:hAnsi="Arial" w:cs="Arial"/>
                <w:lang w:val="nl-NL"/>
              </w:rPr>
              <w:t xml:space="preserve"> en de documenten die de Minister vaststelt als er geen akkoord </w:t>
            </w:r>
            <w:r w:rsidRPr="005207DD">
              <w:rPr>
                <w:rFonts w:ascii="Arial" w:eastAsia="Times New Roman" w:hAnsi="Arial" w:cs="Arial"/>
                <w:lang w:val="nl-NL"/>
              </w:rPr>
              <w:t xml:space="preserve">met de artsen en de tandheelkundigen </w:t>
            </w:r>
            <w:r w:rsidRPr="004722CA">
              <w:rPr>
                <w:rFonts w:ascii="Arial" w:eastAsia="Times New Roman" w:hAnsi="Arial" w:cs="Arial"/>
                <w:lang w:val="nl-NL"/>
              </w:rPr>
              <w:t xml:space="preserve">wordt goedgekeurd. Indien er geen akkoord of geen document in werking is </w:t>
            </w:r>
            <w:r>
              <w:rPr>
                <w:rFonts w:ascii="Arial" w:eastAsia="Times New Roman" w:hAnsi="Arial" w:cs="Arial"/>
                <w:lang w:val="nl-NL"/>
              </w:rPr>
              <w:t>zal</w:t>
            </w:r>
            <w:r w:rsidRPr="004722CA">
              <w:rPr>
                <w:rFonts w:ascii="Arial" w:eastAsia="Times New Roman" w:hAnsi="Arial" w:cs="Arial"/>
                <w:lang w:val="nl-NL"/>
              </w:rPr>
              <w:t xml:space="preserve"> de Koning maximumtarieven bepalen die door alle zorgverleners moeten worden nageleefd. De Koning </w:t>
            </w:r>
            <w:r>
              <w:rPr>
                <w:rFonts w:ascii="Arial" w:eastAsia="Times New Roman" w:hAnsi="Arial" w:cs="Arial"/>
                <w:lang w:val="nl-NL"/>
              </w:rPr>
              <w:t>kan</w:t>
            </w:r>
            <w:r w:rsidRPr="004722CA">
              <w:rPr>
                <w:rFonts w:ascii="Arial" w:eastAsia="Times New Roman" w:hAnsi="Arial" w:cs="Arial"/>
                <w:lang w:val="nl-NL"/>
              </w:rPr>
              <w:t xml:space="preserve"> in dat geval ook de bedragen vaststellen die als basis dienen voor de berekening van de verzekeringstegemoetkoming.</w:t>
            </w:r>
          </w:p>
        </w:tc>
      </w:tr>
      <w:tr w:rsidR="00477C89" w:rsidRPr="00A827F1" w14:paraId="5AB960EF" w14:textId="77777777" w:rsidTr="005F50EE">
        <w:tc>
          <w:tcPr>
            <w:tcW w:w="5104" w:type="dxa"/>
          </w:tcPr>
          <w:p w14:paraId="3B9CF09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EC5F0F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EEDBC47" w14:textId="77777777" w:rsidTr="005F50EE">
        <w:tc>
          <w:tcPr>
            <w:tcW w:w="5104" w:type="dxa"/>
          </w:tcPr>
          <w:p w14:paraId="14C895AE" w14:textId="5A2983DA" w:rsidR="00477C89" w:rsidRPr="009B50C8"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Les taux d'adhésion seront désormais calculés pour tous les secteurs au niveau </w:t>
            </w:r>
            <w:r w:rsidR="00DC7990" w:rsidRPr="00DC7990">
              <w:rPr>
                <w:rFonts w:ascii="Arial" w:eastAsia="Times New Roman" w:hAnsi="Arial" w:cs="Arial"/>
                <w:lang w:val="fr-FR"/>
              </w:rPr>
              <w:t xml:space="preserve">national uniquement et non plus au niveau </w:t>
            </w:r>
            <w:r w:rsidRPr="00DC7990">
              <w:rPr>
                <w:rFonts w:ascii="Arial" w:eastAsia="Times New Roman" w:hAnsi="Arial" w:cs="Arial"/>
                <w:lang w:val="fr-FR"/>
              </w:rPr>
              <w:t>régional. Si aucun nouvel accord ne peut être conclu ou approuvé, les dispensateurs de soins qui avaient adhéré à l’accord expiré</w:t>
            </w:r>
            <w:r>
              <w:rPr>
                <w:rFonts w:ascii="Arial" w:eastAsia="Times New Roman" w:hAnsi="Arial" w:cs="Arial"/>
                <w:lang w:val="fr-FR"/>
              </w:rPr>
              <w:t xml:space="preserve"> ou au document expiré</w:t>
            </w:r>
            <w:r w:rsidRPr="00DC7990">
              <w:rPr>
                <w:rFonts w:ascii="Arial" w:eastAsia="Times New Roman" w:hAnsi="Arial" w:cs="Arial"/>
                <w:lang w:val="fr-FR"/>
              </w:rPr>
              <w:t xml:space="preserve">, restent tenus de respecter les tarifs au cours du processus </w:t>
            </w:r>
            <w:r>
              <w:rPr>
                <w:rFonts w:ascii="Arial" w:eastAsia="Times New Roman" w:hAnsi="Arial" w:cs="Arial"/>
                <w:lang w:val="fr-FR"/>
              </w:rPr>
              <w:t>d’adhésion à</w:t>
            </w:r>
            <w:r w:rsidRPr="00DC7990">
              <w:rPr>
                <w:rFonts w:ascii="Arial" w:eastAsia="Times New Roman" w:hAnsi="Arial" w:cs="Arial"/>
                <w:lang w:val="fr-FR"/>
              </w:rPr>
              <w:t xml:space="preserve"> un document </w:t>
            </w:r>
            <w:r>
              <w:rPr>
                <w:rFonts w:ascii="Arial" w:eastAsia="Times New Roman" w:hAnsi="Arial" w:cs="Arial"/>
                <w:lang w:val="fr-FR"/>
              </w:rPr>
              <w:t xml:space="preserve">établi </w:t>
            </w:r>
            <w:r w:rsidRPr="00DC7990">
              <w:rPr>
                <w:rFonts w:ascii="Arial" w:eastAsia="Times New Roman" w:hAnsi="Arial" w:cs="Arial"/>
                <w:lang w:val="fr-FR"/>
              </w:rPr>
              <w:t xml:space="preserve">par le Comité de l’assurance </w:t>
            </w:r>
            <w:r>
              <w:rPr>
                <w:rFonts w:ascii="Arial" w:eastAsia="Times New Roman" w:hAnsi="Arial" w:cs="Arial"/>
                <w:lang w:val="fr-FR"/>
              </w:rPr>
              <w:t>ou</w:t>
            </w:r>
            <w:r w:rsidRPr="00DC7990">
              <w:rPr>
                <w:rFonts w:ascii="Arial" w:eastAsia="Times New Roman" w:hAnsi="Arial" w:cs="Arial"/>
                <w:lang w:val="fr-FR"/>
              </w:rPr>
              <w:t xml:space="preserve"> le Ministre.</w:t>
            </w:r>
            <w:r w:rsidRPr="00962B0D">
              <w:rPr>
                <w:lang w:val="fr-FR"/>
              </w:rPr>
              <w:t xml:space="preserve"> </w:t>
            </w:r>
            <w:r w:rsidRPr="00962B0D">
              <w:rPr>
                <w:rFonts w:ascii="Arial" w:eastAsia="Times New Roman" w:hAnsi="Arial" w:cs="Arial"/>
                <w:lang w:val="fr-FR"/>
              </w:rPr>
              <w:t>Si le Ministre n’établit aucun document, ou si ce document n’est pas approuvé par le Conseil général, les dispensateurs de soins qui avaient adhéré à l’accord expiré ou au document expiré restent tenus de respecter les tarifs jusqu’au dernier jour du mois de février.</w:t>
            </w:r>
          </w:p>
        </w:tc>
        <w:tc>
          <w:tcPr>
            <w:tcW w:w="5104" w:type="dxa"/>
          </w:tcPr>
          <w:p w14:paraId="6E22FA6B" w14:textId="79950A25"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t xml:space="preserve">De toetredingspercentages zullen voortaan voor alle sectoren </w:t>
            </w:r>
            <w:r w:rsidR="00BC0DC7" w:rsidRPr="004722CA">
              <w:rPr>
                <w:rFonts w:ascii="Arial" w:eastAsia="Times New Roman" w:hAnsi="Arial" w:cs="Arial"/>
                <w:lang w:val="nl-NL"/>
              </w:rPr>
              <w:t xml:space="preserve">uitsluitend op nationaal niveau worden berekend en niet meer </w:t>
            </w:r>
            <w:r w:rsidRPr="004722CA">
              <w:rPr>
                <w:rFonts w:ascii="Arial" w:eastAsia="Times New Roman" w:hAnsi="Arial" w:cs="Arial"/>
                <w:lang w:val="nl-NL"/>
              </w:rPr>
              <w:t>op het niveau van de streken.  Als er geen nieuw akkoord kan worden gesloten en goedgekeurd, blijven de zorgverleners die waren toegetreden tot het verstreken akkoord</w:t>
            </w:r>
            <w:r>
              <w:rPr>
                <w:rFonts w:ascii="Arial" w:eastAsia="Times New Roman" w:hAnsi="Arial" w:cs="Arial"/>
                <w:lang w:val="nl-NL"/>
              </w:rPr>
              <w:t xml:space="preserve"> of het verstreken document</w:t>
            </w:r>
            <w:r w:rsidRPr="004722CA">
              <w:rPr>
                <w:rFonts w:ascii="Arial" w:eastAsia="Times New Roman" w:hAnsi="Arial" w:cs="Arial"/>
                <w:lang w:val="nl-NL"/>
              </w:rPr>
              <w:t xml:space="preserve">, er tijdens het proces van </w:t>
            </w:r>
            <w:r>
              <w:rPr>
                <w:rFonts w:ascii="Arial" w:eastAsia="Times New Roman" w:hAnsi="Arial" w:cs="Arial"/>
                <w:lang w:val="nl-NL"/>
              </w:rPr>
              <w:t xml:space="preserve">toetreding tot </w:t>
            </w:r>
            <w:r w:rsidRPr="004722CA">
              <w:rPr>
                <w:rFonts w:ascii="Arial" w:eastAsia="Times New Roman" w:hAnsi="Arial" w:cs="Arial"/>
                <w:lang w:val="nl-NL"/>
              </w:rPr>
              <w:t xml:space="preserve">een document </w:t>
            </w:r>
            <w:r>
              <w:rPr>
                <w:rFonts w:ascii="Arial" w:eastAsia="Times New Roman" w:hAnsi="Arial" w:cs="Arial"/>
                <w:lang w:val="nl-NL"/>
              </w:rPr>
              <w:t xml:space="preserve">vastgesteld </w:t>
            </w:r>
            <w:r w:rsidRPr="004722CA">
              <w:rPr>
                <w:rFonts w:ascii="Arial" w:eastAsia="Times New Roman" w:hAnsi="Arial" w:cs="Arial"/>
                <w:lang w:val="nl-NL"/>
              </w:rPr>
              <w:t xml:space="preserve">door het Verzekeringscomité </w:t>
            </w:r>
            <w:r>
              <w:rPr>
                <w:rFonts w:ascii="Arial" w:eastAsia="Times New Roman" w:hAnsi="Arial" w:cs="Arial"/>
                <w:lang w:val="nl-NL"/>
              </w:rPr>
              <w:t xml:space="preserve">of </w:t>
            </w:r>
            <w:r w:rsidRPr="004722CA">
              <w:rPr>
                <w:rFonts w:ascii="Arial" w:eastAsia="Times New Roman" w:hAnsi="Arial" w:cs="Arial"/>
                <w:lang w:val="nl-NL"/>
              </w:rPr>
              <w:t>de Minister toe gehouden de tarieven te respecteren.</w:t>
            </w:r>
            <w:r w:rsidRPr="00B3003D">
              <w:rPr>
                <w:lang w:val="nl-NL"/>
              </w:rPr>
              <w:t xml:space="preserve"> </w:t>
            </w:r>
            <w:r w:rsidRPr="00B3003D">
              <w:rPr>
                <w:rFonts w:ascii="Arial" w:eastAsia="Times New Roman" w:hAnsi="Arial" w:cs="Arial"/>
                <w:lang w:val="nl-NL"/>
              </w:rPr>
              <w:t>Als de Minister geen document vaststelt, of als dat document niet wordt goedgekeurd door de Algemene raad, blijven de zorgverleners die waren toegetreden tot het verstreken akkoord of het verstreken document er toe gehouden de tarieven te respecteren tot de laatste dag van februari.</w:t>
            </w:r>
          </w:p>
        </w:tc>
      </w:tr>
      <w:tr w:rsidR="00477C89" w:rsidRPr="00A827F1" w14:paraId="088B89D0" w14:textId="77777777" w:rsidTr="005F50EE">
        <w:tc>
          <w:tcPr>
            <w:tcW w:w="5104" w:type="dxa"/>
          </w:tcPr>
          <w:p w14:paraId="6DEF2F09"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BEC6FD9"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9E3682A" w14:textId="77777777" w:rsidTr="005F50EE">
        <w:tc>
          <w:tcPr>
            <w:tcW w:w="5104" w:type="dxa"/>
          </w:tcPr>
          <w:p w14:paraId="6C32A9F5" w14:textId="0D70466D"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La possibilité pour les médecins et les dentistes de </w:t>
            </w:r>
            <w:r>
              <w:rPr>
                <w:rFonts w:ascii="Arial" w:eastAsia="Times New Roman" w:hAnsi="Arial" w:cs="Arial"/>
                <w:lang w:val="fr-FR"/>
              </w:rPr>
              <w:t>se conventionner partiellement est maintenue</w:t>
            </w:r>
            <w:r w:rsidR="00E4544A">
              <w:rPr>
                <w:rFonts w:ascii="Arial" w:eastAsia="Times New Roman" w:hAnsi="Arial" w:cs="Arial"/>
                <w:lang w:val="fr-FR"/>
              </w:rPr>
              <w:t>.</w:t>
            </w:r>
          </w:p>
        </w:tc>
        <w:tc>
          <w:tcPr>
            <w:tcW w:w="5104" w:type="dxa"/>
          </w:tcPr>
          <w:p w14:paraId="6EAEFB16" w14:textId="7078F20B"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t xml:space="preserve">De mogelijkheid voor artsen en tandartsen om </w:t>
            </w:r>
            <w:r w:rsidRPr="00F86F95">
              <w:rPr>
                <w:rFonts w:ascii="Arial" w:eastAsia="Times New Roman" w:hAnsi="Arial" w:cs="Arial"/>
                <w:lang w:val="nl-NL"/>
              </w:rPr>
              <w:t>zich gedeeltelijk te conventioneren wordt behouden</w:t>
            </w:r>
          </w:p>
        </w:tc>
      </w:tr>
      <w:tr w:rsidR="00477C89" w:rsidRPr="00A827F1" w14:paraId="0AA289F8" w14:textId="77777777" w:rsidTr="005F50EE">
        <w:tc>
          <w:tcPr>
            <w:tcW w:w="5104" w:type="dxa"/>
          </w:tcPr>
          <w:p w14:paraId="341FDFC3"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5D800C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9EC4BCE" w14:textId="77777777" w:rsidTr="005F50EE">
        <w:tc>
          <w:tcPr>
            <w:tcW w:w="5104" w:type="dxa"/>
          </w:tcPr>
          <w:p w14:paraId="3AECB936" w14:textId="2E15A9E3"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Les accords doivent en principe être conclus pour 2 années calendrier. Une prolongation est possible, mais les commissions d’accords doivent alors le notifier explicitement au plus tard le 30 septembre </w:t>
            </w:r>
            <w:r w:rsidRPr="00DC7990">
              <w:rPr>
                <w:rFonts w:ascii="Arial" w:eastAsia="Times New Roman" w:hAnsi="Arial" w:cs="Arial"/>
                <w:lang w:val="fr-FR"/>
              </w:rPr>
              <w:lastRenderedPageBreak/>
              <w:t>de l'année au cours de laquelle l'accord prend fin.</w:t>
            </w:r>
            <w:r w:rsidRPr="00825BC0">
              <w:rPr>
                <w:lang w:val="fr-FR"/>
              </w:rPr>
              <w:t xml:space="preserve"> </w:t>
            </w:r>
            <w:r w:rsidRPr="00825BC0">
              <w:rPr>
                <w:rFonts w:ascii="Arial" w:eastAsia="Times New Roman" w:hAnsi="Arial" w:cs="Arial"/>
                <w:lang w:val="fr-FR"/>
              </w:rPr>
              <w:t>Cette prolongation peut également être tacite, si les accords le prévoient.</w:t>
            </w:r>
          </w:p>
          <w:p w14:paraId="1893A100" w14:textId="77777777"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72942F6D" w14:textId="0ADE22FD"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lastRenderedPageBreak/>
              <w:t xml:space="preserve">De akkoorden moeten in principe worden gesloten voor 2 kalenderjaren.  Een verlenging is mogelijk, maar de akkoordencommissie moet dat dan expliciet melden uiterlijk op 30 september van het </w:t>
            </w:r>
            <w:r w:rsidRPr="004722CA">
              <w:rPr>
                <w:rFonts w:ascii="Arial" w:eastAsia="Times New Roman" w:hAnsi="Arial" w:cs="Arial"/>
                <w:lang w:val="nl-NL"/>
              </w:rPr>
              <w:lastRenderedPageBreak/>
              <w:t>jaar waarin het akkoord ten einde loopt.</w:t>
            </w:r>
            <w:r w:rsidRPr="00F86F95">
              <w:rPr>
                <w:lang w:val="nl-NL"/>
              </w:rPr>
              <w:t xml:space="preserve"> </w:t>
            </w:r>
            <w:r w:rsidRPr="00F86F95">
              <w:rPr>
                <w:rFonts w:ascii="Arial" w:eastAsia="Times New Roman" w:hAnsi="Arial" w:cs="Arial"/>
                <w:lang w:val="nl-NL"/>
              </w:rPr>
              <w:t>Die verlenging kan ook stilzwijgend, als dat is voorzien in de akkoorden.</w:t>
            </w:r>
          </w:p>
        </w:tc>
      </w:tr>
      <w:tr w:rsidR="00477C89" w:rsidRPr="00A827F1" w14:paraId="3D49BFA6" w14:textId="77777777" w:rsidTr="005F50EE">
        <w:tc>
          <w:tcPr>
            <w:tcW w:w="5104" w:type="dxa"/>
          </w:tcPr>
          <w:p w14:paraId="26FA88E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4640CBE"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66DE53A" w14:textId="77777777" w:rsidTr="005F50EE">
        <w:tc>
          <w:tcPr>
            <w:tcW w:w="5104" w:type="dxa"/>
          </w:tcPr>
          <w:p w14:paraId="514A0910" w14:textId="790771AF"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Les dépassements d'honoraires maximums autorisés (tarifs indicatifs)  qui peuvent maintenant seulement être prévus dans les accords dento-mutualiste deviendra possible dans tous les secteurs et seront repris dans le maximum à facturer.</w:t>
            </w:r>
          </w:p>
        </w:tc>
        <w:tc>
          <w:tcPr>
            <w:tcW w:w="5104" w:type="dxa"/>
          </w:tcPr>
          <w:p w14:paraId="204A88C6" w14:textId="301B048A"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t>De toegestane maximale overschrijdingen van de honoraria (richttarieven) die nu enkel kunnen worden vastgesteld in de akkoorden tandheelkundigen-ziekenfondsen worden mogelijk in alle sectoren</w:t>
            </w:r>
            <w:r>
              <w:rPr>
                <w:rFonts w:ascii="Arial" w:eastAsia="Times New Roman" w:hAnsi="Arial" w:cs="Arial"/>
                <w:lang w:val="nl-NL"/>
              </w:rPr>
              <w:t xml:space="preserve"> en worden opgenomen in de maximumfactuur</w:t>
            </w:r>
            <w:r w:rsidRPr="004722CA">
              <w:rPr>
                <w:rFonts w:ascii="Arial" w:eastAsia="Times New Roman" w:hAnsi="Arial" w:cs="Arial"/>
                <w:lang w:val="nl-NL"/>
              </w:rPr>
              <w:t>.</w:t>
            </w:r>
          </w:p>
        </w:tc>
      </w:tr>
      <w:tr w:rsidR="00477C89" w:rsidRPr="00A827F1" w14:paraId="75781154" w14:textId="77777777" w:rsidTr="005F50EE">
        <w:tc>
          <w:tcPr>
            <w:tcW w:w="5104" w:type="dxa"/>
          </w:tcPr>
          <w:p w14:paraId="20FFBEFC"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E4E860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1DD9EBF" w14:textId="77777777" w:rsidTr="005F50EE">
        <w:tc>
          <w:tcPr>
            <w:tcW w:w="5104" w:type="dxa"/>
          </w:tcPr>
          <w:p w14:paraId="1A3DC778" w14:textId="51263163"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Les différentes primes et interventions financières versées par l’INAMI aux dispensateurs de soins ne seront plus octroyées que si le dispensateur de soins est conventionné.</w:t>
            </w:r>
          </w:p>
        </w:tc>
        <w:tc>
          <w:tcPr>
            <w:tcW w:w="5104" w:type="dxa"/>
          </w:tcPr>
          <w:p w14:paraId="4F19F520" w14:textId="4CD211BA"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t>Verschillende premies en financiële tegemoetkomingen die het Riziv aan zorgverleners betaalt</w:t>
            </w:r>
            <w:r>
              <w:rPr>
                <w:rFonts w:ascii="Arial" w:eastAsia="Times New Roman" w:hAnsi="Arial" w:cs="Arial"/>
                <w:lang w:val="nl-NL"/>
              </w:rPr>
              <w:t>,</w:t>
            </w:r>
            <w:r w:rsidRPr="004722CA">
              <w:rPr>
                <w:rFonts w:ascii="Arial" w:eastAsia="Times New Roman" w:hAnsi="Arial" w:cs="Arial"/>
                <w:lang w:val="nl-NL"/>
              </w:rPr>
              <w:t xml:space="preserve"> zullen enkel nog worden toegekend als de zorgverlener is geconventioneerd.</w:t>
            </w:r>
          </w:p>
        </w:tc>
      </w:tr>
      <w:tr w:rsidR="00477C89" w:rsidRPr="00A827F1" w14:paraId="2312CC97" w14:textId="77777777" w:rsidTr="005F50EE">
        <w:tc>
          <w:tcPr>
            <w:tcW w:w="5104" w:type="dxa"/>
          </w:tcPr>
          <w:p w14:paraId="5394E8B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2B0C8C4" w14:textId="393BD4B5"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10BB176" w14:textId="77777777" w:rsidTr="005F50EE">
        <w:tc>
          <w:tcPr>
            <w:tcW w:w="5104" w:type="dxa"/>
          </w:tcPr>
          <w:p w14:paraId="233F77FA" w14:textId="17F0B6C9"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Enfin, dans le même mouvement, un certain nombre de réarrangements sont effectués pour améliorer la lisibilité et la structure de l'ensemble : dans cette optique, des éléments sont réorganisés pour être repris, comme suit : </w:t>
            </w:r>
            <w:r w:rsidRPr="00DC7990">
              <w:rPr>
                <w:rFonts w:ascii="Arial" w:eastAsia="Times New Roman" w:hAnsi="Arial" w:cs="Arial"/>
                <w:lang w:val="fr-FR"/>
              </w:rPr>
              <w:tab/>
            </w:r>
          </w:p>
        </w:tc>
        <w:tc>
          <w:tcPr>
            <w:tcW w:w="5104" w:type="dxa"/>
          </w:tcPr>
          <w:p w14:paraId="54EA715C" w14:textId="7EE1168D" w:rsidR="00477C89" w:rsidRPr="00DF4489" w:rsidRDefault="00477C89" w:rsidP="00477C89">
            <w:pPr>
              <w:spacing w:after="0" w:line="240" w:lineRule="auto"/>
              <w:jc w:val="both"/>
              <w:outlineLvl w:val="0"/>
              <w:rPr>
                <w:rFonts w:ascii="Arial" w:eastAsia="Times New Roman" w:hAnsi="Arial" w:cs="Arial"/>
                <w:lang w:val="nl-NL"/>
              </w:rPr>
            </w:pPr>
            <w:r w:rsidRPr="004722CA">
              <w:rPr>
                <w:rFonts w:ascii="Arial" w:eastAsia="Times New Roman" w:hAnsi="Arial" w:cs="Arial"/>
                <w:lang w:val="nl-NL"/>
              </w:rPr>
              <w:t>Tenslotte worden in dezelfde beweging een aantal herschikkingen doorgevoerd die de leesbaarheid en structuur van het geheel ten goede moeten komen:  in die optiek worden onderdelen herschikt om vervolgens te worden hernomen, als volgt:</w:t>
            </w:r>
          </w:p>
        </w:tc>
      </w:tr>
      <w:tr w:rsidR="00477C89" w:rsidRPr="00A827F1" w14:paraId="5D1A083A" w14:textId="77777777" w:rsidTr="005F50EE">
        <w:tc>
          <w:tcPr>
            <w:tcW w:w="5104" w:type="dxa"/>
          </w:tcPr>
          <w:p w14:paraId="78A3C9F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E8706B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0950177" w14:textId="77777777" w:rsidTr="005F50EE">
        <w:tc>
          <w:tcPr>
            <w:tcW w:w="5104" w:type="dxa"/>
          </w:tcPr>
          <w:p w14:paraId="4ABA802C" w14:textId="21C1039A" w:rsidR="00477C89" w:rsidRPr="009B50C8"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9B50C8">
              <w:rPr>
                <w:rFonts w:ascii="Arial" w:eastAsia="Times New Roman" w:hAnsi="Arial" w:cs="Arial"/>
                <w:lang w:val="fr-FR"/>
              </w:rPr>
              <w:t>Une partie qui reprend les règles concernant le fonctionnement et la composition des commissions ;</w:t>
            </w:r>
          </w:p>
        </w:tc>
        <w:tc>
          <w:tcPr>
            <w:tcW w:w="5104" w:type="dxa"/>
          </w:tcPr>
          <w:p w14:paraId="6FD3EF6C" w14:textId="1495D976" w:rsidR="00477C89" w:rsidRPr="004722CA"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4722CA">
              <w:rPr>
                <w:rFonts w:ascii="Arial" w:eastAsia="Times New Roman" w:hAnsi="Arial" w:cs="Arial"/>
                <w:lang w:val="nl-NL"/>
              </w:rPr>
              <w:t>Een deel dat de regels inzake de werking en samenstelling van de commissies herneemt;</w:t>
            </w:r>
          </w:p>
        </w:tc>
      </w:tr>
      <w:tr w:rsidR="00477C89" w:rsidRPr="00A827F1" w14:paraId="4286ADBF" w14:textId="77777777" w:rsidTr="005F50EE">
        <w:tc>
          <w:tcPr>
            <w:tcW w:w="5104" w:type="dxa"/>
          </w:tcPr>
          <w:p w14:paraId="6DFA7A8A"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D3C0488"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EAE9BC6" w14:textId="77777777" w:rsidTr="005F50EE">
        <w:tc>
          <w:tcPr>
            <w:tcW w:w="5104" w:type="dxa"/>
          </w:tcPr>
          <w:p w14:paraId="43C45825" w14:textId="5BAFD7B8" w:rsidR="00477C89" w:rsidRPr="009B50C8"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9B50C8">
              <w:rPr>
                <w:rFonts w:ascii="Arial" w:eastAsia="Times New Roman" w:hAnsi="Arial" w:cs="Arial"/>
                <w:lang w:val="fr-FR"/>
              </w:rPr>
              <w:t>Une partie qui reprend les règles concernant le contenu des accords ;</w:t>
            </w:r>
          </w:p>
        </w:tc>
        <w:tc>
          <w:tcPr>
            <w:tcW w:w="5104" w:type="dxa"/>
          </w:tcPr>
          <w:p w14:paraId="5E766286" w14:textId="03F3A582"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4722CA">
              <w:rPr>
                <w:rFonts w:ascii="Arial" w:eastAsia="Times New Roman" w:hAnsi="Arial" w:cs="Arial"/>
                <w:lang w:val="nl-NL"/>
              </w:rPr>
              <w:t>Een deel dat de regels inzake de inhoud van de akkoorden herneemt;</w:t>
            </w:r>
          </w:p>
        </w:tc>
      </w:tr>
      <w:tr w:rsidR="00477C89" w:rsidRPr="00A827F1" w14:paraId="3B7C322E" w14:textId="77777777" w:rsidTr="005F50EE">
        <w:tc>
          <w:tcPr>
            <w:tcW w:w="5104" w:type="dxa"/>
          </w:tcPr>
          <w:p w14:paraId="0B9AE6C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0933C4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59592C4C" w14:textId="77777777" w:rsidTr="005F50EE">
        <w:tc>
          <w:tcPr>
            <w:tcW w:w="5104" w:type="dxa"/>
          </w:tcPr>
          <w:p w14:paraId="269DE601" w14:textId="7A569525" w:rsidR="00477C89" w:rsidRPr="009B50C8"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9B50C8">
              <w:rPr>
                <w:rFonts w:ascii="Arial" w:eastAsia="Times New Roman" w:hAnsi="Arial" w:cs="Arial"/>
                <w:lang w:val="fr-FR"/>
              </w:rPr>
              <w:t>Une partie qui reprend les règles de procédure relatives à l'établissement, à l'entrée en vigueur, au renouvellement, à la modification et à la dénonciation des accords tarifaires ou des règles tarifaires ;</w:t>
            </w:r>
          </w:p>
        </w:tc>
        <w:tc>
          <w:tcPr>
            <w:tcW w:w="5104" w:type="dxa"/>
          </w:tcPr>
          <w:p w14:paraId="128D7F4B" w14:textId="4B6B5DDB"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4722CA">
              <w:rPr>
                <w:rFonts w:ascii="Arial" w:eastAsia="Times New Roman" w:hAnsi="Arial" w:cs="Arial"/>
                <w:lang w:val="nl-NL"/>
              </w:rPr>
              <w:t>Een deel dat de procesmatige regels met betrekking tot de  totstandkoming, de  inwerkingtreding, de verlenging, de wijziging en het einde van tariefakkoorden of tariefregels herneemt;</w:t>
            </w:r>
          </w:p>
        </w:tc>
      </w:tr>
      <w:tr w:rsidR="00477C89" w:rsidRPr="00A827F1" w14:paraId="7BE5D5AE" w14:textId="77777777" w:rsidTr="005F50EE">
        <w:tc>
          <w:tcPr>
            <w:tcW w:w="5104" w:type="dxa"/>
          </w:tcPr>
          <w:p w14:paraId="30B334C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5FB7C8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BF0492A" w14:textId="77777777" w:rsidTr="005F50EE">
        <w:tc>
          <w:tcPr>
            <w:tcW w:w="5104" w:type="dxa"/>
          </w:tcPr>
          <w:p w14:paraId="3B4377B6" w14:textId="7F3AB0C8" w:rsidR="00477C89" w:rsidRPr="009B50C8"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9B50C8">
              <w:rPr>
                <w:rFonts w:ascii="Arial" w:eastAsia="Times New Roman" w:hAnsi="Arial" w:cs="Arial"/>
                <w:lang w:val="fr-FR"/>
              </w:rPr>
              <w:t>Et enfin, un partie qui reprend les règles concernant les conséquences et avantages du statut de conventionnement.</w:t>
            </w:r>
          </w:p>
        </w:tc>
        <w:tc>
          <w:tcPr>
            <w:tcW w:w="5104" w:type="dxa"/>
          </w:tcPr>
          <w:p w14:paraId="26545291" w14:textId="0618B0CF"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4722CA">
              <w:rPr>
                <w:rFonts w:ascii="Arial" w:eastAsia="Times New Roman" w:hAnsi="Arial" w:cs="Arial"/>
                <w:lang w:val="nl-NL"/>
              </w:rPr>
              <w:t>En tenslotte een deel dat de regels inzake gevolgen en voordelen van het conventiestatuut herneemt.</w:t>
            </w:r>
          </w:p>
        </w:tc>
      </w:tr>
      <w:tr w:rsidR="00477C89" w:rsidRPr="00A827F1" w14:paraId="5EE1D7C5" w14:textId="77777777" w:rsidTr="005F50EE">
        <w:tc>
          <w:tcPr>
            <w:tcW w:w="5104" w:type="dxa"/>
          </w:tcPr>
          <w:p w14:paraId="235B8B6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A00E1C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9B50C8" w14:paraId="43863708" w14:textId="77777777" w:rsidTr="005F50EE">
        <w:tc>
          <w:tcPr>
            <w:tcW w:w="5104" w:type="dxa"/>
          </w:tcPr>
          <w:p w14:paraId="6D828089" w14:textId="606AE80E" w:rsidR="00477C89" w:rsidRPr="00DF4489" w:rsidRDefault="00477C89" w:rsidP="00477C89">
            <w:pPr>
              <w:spacing w:after="0" w:line="240" w:lineRule="auto"/>
              <w:jc w:val="center"/>
              <w:outlineLvl w:val="0"/>
              <w:rPr>
                <w:rFonts w:ascii="Arial" w:eastAsia="Times New Roman" w:hAnsi="Arial" w:cs="Arial"/>
                <w:lang w:val="nl-NL"/>
              </w:rPr>
            </w:pPr>
            <w:r w:rsidRPr="00EE6F91">
              <w:rPr>
                <w:rFonts w:ascii="Arial" w:hAnsi="Arial" w:cs="Arial"/>
                <w:b/>
                <w:bCs/>
                <w:lang w:val="nl-NL"/>
              </w:rPr>
              <w:t>Art. X</w:t>
            </w:r>
            <w:r>
              <w:rPr>
                <w:rFonts w:ascii="Arial" w:hAnsi="Arial" w:cs="Arial"/>
                <w:b/>
                <w:bCs/>
                <w:lang w:val="nl-NL"/>
              </w:rPr>
              <w:t>+7</w:t>
            </w:r>
          </w:p>
        </w:tc>
        <w:tc>
          <w:tcPr>
            <w:tcW w:w="5104" w:type="dxa"/>
          </w:tcPr>
          <w:p w14:paraId="428A0247" w14:textId="65C199AE" w:rsidR="00477C89" w:rsidRPr="00DF4489" w:rsidRDefault="00477C89" w:rsidP="00477C89">
            <w:pPr>
              <w:spacing w:after="0" w:line="240" w:lineRule="auto"/>
              <w:jc w:val="center"/>
              <w:outlineLvl w:val="0"/>
              <w:rPr>
                <w:rFonts w:ascii="Arial" w:eastAsia="Times New Roman" w:hAnsi="Arial" w:cs="Arial"/>
                <w:lang w:val="nl-NL"/>
              </w:rPr>
            </w:pPr>
            <w:r w:rsidRPr="00EE6F91">
              <w:rPr>
                <w:rFonts w:ascii="Arial" w:hAnsi="Arial" w:cs="Arial"/>
                <w:b/>
                <w:bCs/>
                <w:lang w:val="nl-NL"/>
              </w:rPr>
              <w:t>Art. X</w:t>
            </w:r>
            <w:r>
              <w:rPr>
                <w:rFonts w:ascii="Arial" w:hAnsi="Arial" w:cs="Arial"/>
                <w:b/>
                <w:bCs/>
                <w:lang w:val="nl-NL"/>
              </w:rPr>
              <w:t>+7</w:t>
            </w:r>
          </w:p>
        </w:tc>
      </w:tr>
      <w:tr w:rsidR="00477C89" w:rsidRPr="009B50C8" w14:paraId="08BAAFDA" w14:textId="77777777" w:rsidTr="005F50EE">
        <w:tc>
          <w:tcPr>
            <w:tcW w:w="5104" w:type="dxa"/>
          </w:tcPr>
          <w:p w14:paraId="2815655D"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7DE5DA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9A078C1" w14:textId="77777777" w:rsidTr="005F50EE">
        <w:tc>
          <w:tcPr>
            <w:tcW w:w="5104" w:type="dxa"/>
          </w:tcPr>
          <w:p w14:paraId="43E8CE6C" w14:textId="008C8A07"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Les dispositions concernant la composition et le fonctionnement des commissions de conventions ou d’accords sont à ce jour dispersées dans différents articles de la loi relative à l'assurance obligatoire soins de santé et indemnités coordonnée le 14 juillet 1994.</w:t>
            </w:r>
          </w:p>
        </w:tc>
        <w:tc>
          <w:tcPr>
            <w:tcW w:w="5104" w:type="dxa"/>
          </w:tcPr>
          <w:p w14:paraId="5543EB23" w14:textId="290C83D6"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De bepalingen betreffende de samenstelling en de werking van de overeenkomsten- en akkoordencommissies zijn nu verspreid over verschillende artikels van de wet betreffende de verplichte verzekering voor geneeskundige verzorging en uitkeringen,  gecoördineerd op 14 juli 1994. </w:t>
            </w:r>
          </w:p>
        </w:tc>
      </w:tr>
      <w:tr w:rsidR="00477C89" w:rsidRPr="00A827F1" w14:paraId="58D96EAE" w14:textId="77777777" w:rsidTr="005F50EE">
        <w:tc>
          <w:tcPr>
            <w:tcW w:w="5104" w:type="dxa"/>
          </w:tcPr>
          <w:p w14:paraId="7E2C0CC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AF30A27"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23B05B7" w14:textId="77777777" w:rsidTr="005F50EE">
        <w:tc>
          <w:tcPr>
            <w:tcW w:w="5104" w:type="dxa"/>
          </w:tcPr>
          <w:p w14:paraId="40C7CF1D" w14:textId="77777777"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lastRenderedPageBreak/>
              <w:t>L’article 26 de la loi coordonnée comprend les règles générales concernant la composition et le fonctionnement des commissions de conventions ou d’accords et habilite le Roi à développer ces règles. L’article 50, § 2, prévoit en détail la composition et les règles de fonctionnement des commissions d’accords avec les médecins et les dentistes, et l’article 51, § 10, dispose que chaque commission établit un règlement d’ordre intérieur.</w:t>
            </w:r>
          </w:p>
          <w:p w14:paraId="5E39A2D7" w14:textId="1B78633D"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6428F48F" w14:textId="55663C2C"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Artikel 26 van de gecoördineerde wet bevat de algemene regels inzake de samenstelling en de werking van de overeenkomsten- en akkoordencommissies en machtigt de Koning om deze regels verder uit te werken.   Artikel 50, § 2, voorziet in detail de samenstelling en de werkingsregels van de akkoordencommissies met de artsen en de tandartsen en artikel 51, § 10 bepaalt dat elke commissie een huishoudelijk reglement opmaakt.</w:t>
            </w:r>
          </w:p>
        </w:tc>
      </w:tr>
      <w:tr w:rsidR="00477C89" w:rsidRPr="00A827F1" w14:paraId="6A85849E" w14:textId="77777777" w:rsidTr="005F50EE">
        <w:tc>
          <w:tcPr>
            <w:tcW w:w="5104" w:type="dxa"/>
          </w:tcPr>
          <w:p w14:paraId="0C45523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A6EDF9E"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3B41796" w14:textId="77777777" w:rsidTr="005F50EE">
        <w:tc>
          <w:tcPr>
            <w:tcW w:w="5104" w:type="dxa"/>
          </w:tcPr>
          <w:p w14:paraId="1F3D8189" w14:textId="4B1F0DDB"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Le projet ajoute les dispositions de l’article 50, § 2, et l’article 51, §</w:t>
            </w:r>
            <w:r>
              <w:rPr>
                <w:rFonts w:ascii="Arial" w:eastAsia="Times New Roman" w:hAnsi="Arial" w:cs="Arial"/>
                <w:lang w:val="fr-FR"/>
              </w:rPr>
              <w:t xml:space="preserve"> </w:t>
            </w:r>
            <w:r w:rsidRPr="00DC7990">
              <w:rPr>
                <w:rFonts w:ascii="Arial" w:eastAsia="Times New Roman" w:hAnsi="Arial" w:cs="Arial"/>
                <w:lang w:val="fr-FR"/>
              </w:rPr>
              <w:t>10, à l’article 26.</w:t>
            </w:r>
            <w:r w:rsidRPr="00962B0D">
              <w:rPr>
                <w:lang w:val="fr-FR"/>
              </w:rPr>
              <w:t xml:space="preserve"> </w:t>
            </w:r>
            <w:r w:rsidRPr="00962B0D">
              <w:rPr>
                <w:rFonts w:ascii="Arial" w:eastAsia="Times New Roman" w:hAnsi="Arial" w:cs="Arial"/>
                <w:lang w:val="fr-FR"/>
              </w:rPr>
              <w:t>Les termes «</w:t>
            </w:r>
            <w:r>
              <w:rPr>
                <w:rFonts w:ascii="Arial" w:eastAsia="Times New Roman" w:hAnsi="Arial" w:cs="Arial"/>
                <w:lang w:val="fr-FR"/>
              </w:rPr>
              <w:t> </w:t>
            </w:r>
            <w:r w:rsidRPr="00962B0D">
              <w:rPr>
                <w:rFonts w:ascii="Arial" w:eastAsia="Times New Roman" w:hAnsi="Arial" w:cs="Arial"/>
                <w:lang w:val="fr-FR"/>
              </w:rPr>
              <w:t>commission d’accords » seront désormais également utilisés, pour d’autres secteurs que ceux des médecins et des praticiens de l’art dentaire</w:t>
            </w:r>
            <w:r>
              <w:rPr>
                <w:rFonts w:ascii="Arial" w:eastAsia="Times New Roman" w:hAnsi="Arial" w:cs="Arial"/>
                <w:lang w:val="fr-FR"/>
              </w:rPr>
              <w:t>.</w:t>
            </w:r>
          </w:p>
        </w:tc>
        <w:tc>
          <w:tcPr>
            <w:tcW w:w="5104" w:type="dxa"/>
          </w:tcPr>
          <w:p w14:paraId="159F19F9" w14:textId="5A406765" w:rsidR="00477C89" w:rsidRPr="00962B0D" w:rsidRDefault="00477C89" w:rsidP="00477C89">
            <w:pPr>
              <w:spacing w:after="0" w:line="240" w:lineRule="auto"/>
              <w:jc w:val="both"/>
              <w:outlineLvl w:val="0"/>
              <w:rPr>
                <w:rFonts w:ascii="Arial" w:eastAsia="Times New Roman" w:hAnsi="Arial" w:cs="Arial"/>
                <w:lang w:val="nl-NL"/>
              </w:rPr>
            </w:pPr>
            <w:r w:rsidRPr="00962B0D">
              <w:rPr>
                <w:rFonts w:ascii="Arial" w:eastAsia="Times New Roman" w:hAnsi="Arial" w:cs="Arial"/>
                <w:lang w:val="nl-NL"/>
              </w:rPr>
              <w:t>Het ontwerp voegt de bepalingen van artikel 50, § 2 en artikel 51, § 10 toe in artikel 26.</w:t>
            </w:r>
            <w:r w:rsidRPr="00962B0D">
              <w:rPr>
                <w:lang w:val="nl-NL"/>
              </w:rPr>
              <w:t xml:space="preserve"> </w:t>
            </w:r>
            <w:r w:rsidRPr="00962B0D">
              <w:rPr>
                <w:rFonts w:ascii="Arial" w:eastAsia="Times New Roman" w:hAnsi="Arial" w:cs="Arial"/>
                <w:lang w:val="nl-NL"/>
              </w:rPr>
              <w:t>Ook voor andere sectoren dan artsen en tandheelkundigen zal voortaan de term “akkoordencommissie” worden gebruikt.</w:t>
            </w:r>
          </w:p>
        </w:tc>
      </w:tr>
      <w:tr w:rsidR="00477C89" w:rsidRPr="00A827F1" w14:paraId="71CBCCB1" w14:textId="77777777" w:rsidTr="005F50EE">
        <w:tc>
          <w:tcPr>
            <w:tcW w:w="5104" w:type="dxa"/>
          </w:tcPr>
          <w:p w14:paraId="7EF99CD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902217E"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5BE1CC77" w14:textId="77777777" w:rsidTr="005F50EE">
        <w:tc>
          <w:tcPr>
            <w:tcW w:w="5104" w:type="dxa"/>
          </w:tcPr>
          <w:p w14:paraId="3636D0D6" w14:textId="074D722A" w:rsidR="00477C89" w:rsidRPr="00EE6F91" w:rsidRDefault="00477C89" w:rsidP="00477C89">
            <w:pPr>
              <w:tabs>
                <w:tab w:val="center" w:pos="2467"/>
                <w:tab w:val="left" w:pos="3555"/>
                <w:tab w:val="left" w:pos="4468"/>
                <w:tab w:val="left" w:pos="5643"/>
                <w:tab w:val="left" w:pos="9747"/>
              </w:tabs>
              <w:spacing w:after="0" w:line="240" w:lineRule="auto"/>
              <w:rPr>
                <w:rFonts w:ascii="Arial" w:hAnsi="Arial" w:cs="Arial"/>
                <w:b/>
                <w:bCs/>
                <w:lang w:val="nl-NL"/>
              </w:rPr>
            </w:pPr>
            <w:r>
              <w:rPr>
                <w:rFonts w:ascii="Arial" w:hAnsi="Arial" w:cs="Arial"/>
                <w:b/>
                <w:bCs/>
                <w:lang w:val="nl-NL"/>
              </w:rPr>
              <w:tab/>
            </w:r>
            <w:r w:rsidRPr="00EE6F91">
              <w:rPr>
                <w:rFonts w:ascii="Arial" w:hAnsi="Arial" w:cs="Arial"/>
                <w:b/>
                <w:bCs/>
                <w:lang w:val="nl-NL"/>
              </w:rPr>
              <w:t>Art. X</w:t>
            </w:r>
            <w:r>
              <w:rPr>
                <w:rFonts w:ascii="Arial" w:hAnsi="Arial" w:cs="Arial"/>
                <w:b/>
                <w:bCs/>
                <w:lang w:val="nl-NL"/>
              </w:rPr>
              <w:t>+9</w:t>
            </w:r>
          </w:p>
        </w:tc>
        <w:tc>
          <w:tcPr>
            <w:tcW w:w="5104" w:type="dxa"/>
          </w:tcPr>
          <w:p w14:paraId="6FF66DDE" w14:textId="412171E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+9</w:t>
            </w:r>
          </w:p>
        </w:tc>
      </w:tr>
      <w:tr w:rsidR="00477C89" w:rsidRPr="004722CA" w14:paraId="38C63DD9" w14:textId="77777777" w:rsidTr="005F50EE">
        <w:tc>
          <w:tcPr>
            <w:tcW w:w="5104" w:type="dxa"/>
          </w:tcPr>
          <w:p w14:paraId="65D477B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302AD7C"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45CFFDE" w14:textId="77777777" w:rsidTr="005F50EE">
        <w:tc>
          <w:tcPr>
            <w:tcW w:w="5104" w:type="dxa"/>
          </w:tcPr>
          <w:p w14:paraId="283F7278" w14:textId="6E1C538A" w:rsidR="00477C89" w:rsidRPr="00DC7990" w:rsidRDefault="00477C89" w:rsidP="00477C89">
            <w:pPr>
              <w:spacing w:after="0" w:line="240" w:lineRule="auto"/>
              <w:jc w:val="both"/>
              <w:outlineLvl w:val="0"/>
              <w:rPr>
                <w:rFonts w:ascii="Arial" w:eastAsia="Times New Roman" w:hAnsi="Arial" w:cs="Arial"/>
                <w:lang w:val="fr-FR"/>
              </w:rPr>
            </w:pPr>
            <w:r w:rsidRPr="00DC7990">
              <w:rPr>
                <w:rFonts w:ascii="Arial" w:eastAsia="Times New Roman" w:hAnsi="Arial" w:cs="Arial"/>
                <w:lang w:val="fr-FR"/>
              </w:rPr>
              <w:t xml:space="preserve">L’article 42 de la loi coordonnée contient les dispositions générales concernant les conventions. </w:t>
            </w:r>
            <w:r w:rsidRPr="00962B0D">
              <w:rPr>
                <w:rFonts w:ascii="Arial" w:eastAsia="Times New Roman" w:hAnsi="Arial" w:cs="Arial"/>
                <w:lang w:val="fr-FR"/>
              </w:rPr>
              <w:t xml:space="preserve">Cet article réglera désormais les dispositions générales relatives aux accords et sera également d’application pour les accords avec les médecins et les praticiens de l’art dentaire.  </w:t>
            </w:r>
            <w:r w:rsidRPr="00DC7990">
              <w:rPr>
                <w:rFonts w:ascii="Arial" w:eastAsia="Times New Roman" w:hAnsi="Arial" w:cs="Arial"/>
                <w:lang w:val="fr-FR"/>
              </w:rPr>
              <w:t>La terminologie est modernisée et alignée sur la désignation actuelle des professions. La terminologie « fournisseurs de prothèses et d'appareils » est remplacée par « les technologues orthopédiques, les audiciens et les opticiens ».</w:t>
            </w:r>
          </w:p>
        </w:tc>
        <w:tc>
          <w:tcPr>
            <w:tcW w:w="5104" w:type="dxa"/>
          </w:tcPr>
          <w:p w14:paraId="251727C2" w14:textId="3353C661" w:rsidR="00477C89" w:rsidRPr="00962B0D" w:rsidRDefault="00477C89" w:rsidP="00477C89">
            <w:pPr>
              <w:spacing w:after="0" w:line="240" w:lineRule="auto"/>
              <w:jc w:val="both"/>
              <w:outlineLvl w:val="0"/>
              <w:rPr>
                <w:rFonts w:ascii="Arial" w:eastAsia="Times New Roman" w:hAnsi="Arial" w:cs="Arial"/>
                <w:lang w:val="nl-NL"/>
              </w:rPr>
            </w:pPr>
            <w:r w:rsidRPr="00962B0D">
              <w:rPr>
                <w:rFonts w:ascii="Arial" w:eastAsia="Times New Roman" w:hAnsi="Arial" w:cs="Arial"/>
                <w:lang w:val="nl-NL"/>
              </w:rPr>
              <w:t>Artikel 42 van de gecoördineerde wet bevat  algemene bepalingen betreffende de overeenkomsten. Dit artikel zal voortaan de algemene bepalingen betreffende de akkoorden regelen en ook van toepassing zijn voor de akkoorden met de artsen en de tandheelkundigen. De terminologie wordt gemoderniseerd en in overeenstemming gebracht met de huidige benaming van de beroepen. De terminologie “verstrekkers van prothesen en toestellen” wordt vervangen door “de orthopedisch technologen, de audiciens en de opticiens”.</w:t>
            </w:r>
          </w:p>
        </w:tc>
      </w:tr>
      <w:tr w:rsidR="00477C89" w:rsidRPr="00A827F1" w14:paraId="21AAE8B8" w14:textId="77777777" w:rsidTr="005F50EE">
        <w:tc>
          <w:tcPr>
            <w:tcW w:w="5104" w:type="dxa"/>
          </w:tcPr>
          <w:p w14:paraId="7ED09893"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37A30B2"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1AB49BB6" w14:textId="77777777" w:rsidTr="005F50EE">
        <w:tc>
          <w:tcPr>
            <w:tcW w:w="5104" w:type="dxa"/>
          </w:tcPr>
          <w:p w14:paraId="006DE3F3" w14:textId="7F3E51A3"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+11</w:t>
            </w:r>
          </w:p>
        </w:tc>
        <w:tc>
          <w:tcPr>
            <w:tcW w:w="5104" w:type="dxa"/>
          </w:tcPr>
          <w:p w14:paraId="12CE9847" w14:textId="5F3945A2"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+11</w:t>
            </w:r>
          </w:p>
        </w:tc>
      </w:tr>
      <w:tr w:rsidR="00477C89" w:rsidRPr="004722CA" w14:paraId="34743833" w14:textId="77777777" w:rsidTr="005F50EE">
        <w:tc>
          <w:tcPr>
            <w:tcW w:w="5104" w:type="dxa"/>
          </w:tcPr>
          <w:p w14:paraId="038E9CDB"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12430E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EF9474F" w14:textId="77777777" w:rsidTr="005F50EE">
        <w:tc>
          <w:tcPr>
            <w:tcW w:w="5104" w:type="dxa"/>
          </w:tcPr>
          <w:p w14:paraId="699CDE28" w14:textId="6E6A4DBA"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L’article 43 de la loi coordonnée prévoit la possibilité de conclure des conventions régionales lorsqu’il n’existe pas de convention au niveau national. Cet article est abrogé. Les </w:t>
            </w:r>
            <w:r>
              <w:rPr>
                <w:rFonts w:ascii="Arial" w:eastAsia="Times New Roman" w:hAnsi="Arial" w:cs="Arial"/>
                <w:lang w:val="fr-FR"/>
              </w:rPr>
              <w:t>accords</w:t>
            </w:r>
            <w:r w:rsidRPr="00D978FA">
              <w:rPr>
                <w:rFonts w:ascii="Arial" w:eastAsia="Times New Roman" w:hAnsi="Arial" w:cs="Arial"/>
                <w:lang w:val="fr-FR"/>
              </w:rPr>
              <w:t xml:space="preserve"> ne pourront plus être conclus qu’au niveau national et, à défaut, le Comité de l’assurance ou le Ministre peut établir un document.</w:t>
            </w:r>
          </w:p>
        </w:tc>
        <w:tc>
          <w:tcPr>
            <w:tcW w:w="5104" w:type="dxa"/>
          </w:tcPr>
          <w:p w14:paraId="4203985F" w14:textId="0BC8C47B"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Artikel 43 van de gecoördineerde wet voorziet in de mogelijkheid om streekovereenkomsten te sluiten wanneer er op nationaal vlak geen overeenkomst bestaat. Dit artikel wordt opgeheven. De </w:t>
            </w:r>
            <w:r>
              <w:rPr>
                <w:rFonts w:ascii="Arial" w:eastAsia="Times New Roman" w:hAnsi="Arial" w:cs="Arial"/>
                <w:lang w:val="nl-NL"/>
              </w:rPr>
              <w:t>akkoorden</w:t>
            </w:r>
            <w:r w:rsidRPr="00BC0DC7">
              <w:rPr>
                <w:rFonts w:ascii="Arial" w:eastAsia="Times New Roman" w:hAnsi="Arial" w:cs="Arial"/>
                <w:lang w:val="nl-NL"/>
              </w:rPr>
              <w:t xml:space="preserve"> zullen nog enkel op nationaal vlak kunnen worden gesloten en bij gebreke daarvan kan het Verzekeringscomité of de Minister een document vaststellen.</w:t>
            </w:r>
          </w:p>
        </w:tc>
      </w:tr>
      <w:tr w:rsidR="00477C89" w:rsidRPr="00A827F1" w14:paraId="4C6AA04C" w14:textId="77777777" w:rsidTr="005F50EE">
        <w:tc>
          <w:tcPr>
            <w:tcW w:w="5104" w:type="dxa"/>
          </w:tcPr>
          <w:p w14:paraId="5C31708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FB6A1D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00356FD4" w14:textId="77777777" w:rsidTr="005F50EE">
        <w:tc>
          <w:tcPr>
            <w:tcW w:w="5104" w:type="dxa"/>
          </w:tcPr>
          <w:p w14:paraId="1DC651C6" w14:textId="752FB26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+12</w:t>
            </w:r>
          </w:p>
        </w:tc>
        <w:tc>
          <w:tcPr>
            <w:tcW w:w="5104" w:type="dxa"/>
          </w:tcPr>
          <w:p w14:paraId="5C3BE10C" w14:textId="036B6C8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+12</w:t>
            </w:r>
          </w:p>
        </w:tc>
      </w:tr>
      <w:tr w:rsidR="00477C89" w:rsidRPr="004722CA" w14:paraId="62A79142" w14:textId="77777777" w:rsidTr="005F50EE">
        <w:tc>
          <w:tcPr>
            <w:tcW w:w="5104" w:type="dxa"/>
          </w:tcPr>
          <w:p w14:paraId="65488E6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B8D314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9CC2B1E" w14:textId="77777777" w:rsidTr="005F50EE">
        <w:tc>
          <w:tcPr>
            <w:tcW w:w="5104" w:type="dxa"/>
          </w:tcPr>
          <w:p w14:paraId="517C7A7A" w14:textId="3DA92CAC"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L’article 44 de la loi coordonnée contient les dispositions concernant le contenu des conventions avec les sage</w:t>
            </w:r>
            <w:r>
              <w:rPr>
                <w:rFonts w:ascii="Arial" w:eastAsia="Times New Roman" w:hAnsi="Arial" w:cs="Arial"/>
                <w:lang w:val="fr-FR"/>
              </w:rPr>
              <w:t>s</w:t>
            </w:r>
            <w:r w:rsidRPr="00D978FA">
              <w:rPr>
                <w:rFonts w:ascii="Arial" w:eastAsia="Times New Roman" w:hAnsi="Arial" w:cs="Arial"/>
                <w:lang w:val="fr-FR"/>
              </w:rPr>
              <w:t xml:space="preserve">-femmes, les praticiens de l’art infirmier et les services de soins infirmiers à domicile, les kinésithérapeutes, les logopèdes et les fournisseurs de prothèses et d’appareils. </w:t>
            </w:r>
          </w:p>
        </w:tc>
        <w:tc>
          <w:tcPr>
            <w:tcW w:w="5104" w:type="dxa"/>
          </w:tcPr>
          <w:p w14:paraId="2F736A92" w14:textId="43F9697E"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Artikel 44 van de gecoördineerde wet bevat bepalingen betreffende de inhoud van de overeenkomsten met de vroedvrouwen, de verpleegkundigen en de diensten thuisverpleging, de kinesitherapeuten, de logopedisten en de verstrekkers van prothesen en toestellen.</w:t>
            </w:r>
          </w:p>
        </w:tc>
      </w:tr>
      <w:tr w:rsidR="00477C89" w:rsidRPr="00A827F1" w14:paraId="2F8F55DA" w14:textId="77777777" w:rsidTr="005F50EE">
        <w:tc>
          <w:tcPr>
            <w:tcW w:w="5104" w:type="dxa"/>
          </w:tcPr>
          <w:p w14:paraId="2448597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69C26F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6553D7E" w14:textId="77777777" w:rsidTr="005F50EE">
        <w:tc>
          <w:tcPr>
            <w:tcW w:w="5104" w:type="dxa"/>
          </w:tcPr>
          <w:p w14:paraId="28DD65A9" w14:textId="4DD3C1FD" w:rsidR="00477C89" w:rsidRPr="00671DC6" w:rsidRDefault="00477C89" w:rsidP="00477C89">
            <w:pPr>
              <w:spacing w:after="0" w:line="240" w:lineRule="auto"/>
              <w:jc w:val="both"/>
              <w:outlineLvl w:val="0"/>
              <w:rPr>
                <w:rFonts w:ascii="Arial" w:eastAsia="Times New Roman" w:hAnsi="Arial" w:cs="Arial"/>
                <w:lang w:val="fr-FR"/>
              </w:rPr>
            </w:pPr>
            <w:r w:rsidRPr="00671DC6">
              <w:rPr>
                <w:rFonts w:ascii="Arial" w:eastAsia="Times New Roman" w:hAnsi="Arial" w:cs="Arial"/>
                <w:lang w:val="fr-FR"/>
              </w:rPr>
              <w:t>Cet article sera désormais également d’application aux accords avec les médecins et les praticiens de l’art dentaire. La terminologie est modernisée et alignée sur la désignation actuelle des professions. La terminologie « fournisseurs de prothèses et d'appareils » est remplacée par « les technologues orthopédiques, les opticiens audiciens et les  audiciens opticiens ».</w:t>
            </w:r>
            <w:r w:rsidR="001F16B3" w:rsidRPr="00671DC6">
              <w:rPr>
                <w:lang w:val="fr-FR"/>
              </w:rPr>
              <w:t xml:space="preserve"> </w:t>
            </w:r>
            <w:r w:rsidR="001F16B3" w:rsidRPr="00671DC6">
              <w:rPr>
                <w:rFonts w:ascii="Arial" w:eastAsia="Times New Roman" w:hAnsi="Arial" w:cs="Arial"/>
                <w:lang w:val="fr-FR"/>
              </w:rPr>
              <w:t>Les honoraires et prix sont établis en déterminant des facteurs par lesquels sont multipliés les valeurs relatives visées à l'article 35, § 1</w:t>
            </w:r>
            <w:r w:rsidR="001F16B3" w:rsidRPr="00671DC6">
              <w:rPr>
                <w:rFonts w:ascii="Arial" w:eastAsia="Times New Roman" w:hAnsi="Arial" w:cs="Arial"/>
                <w:vertAlign w:val="superscript"/>
                <w:lang w:val="fr-FR"/>
              </w:rPr>
              <w:t>er</w:t>
            </w:r>
            <w:r w:rsidR="001F16B3" w:rsidRPr="00671DC6">
              <w:rPr>
                <w:rFonts w:ascii="Arial" w:eastAsia="Times New Roman" w:hAnsi="Arial" w:cs="Arial"/>
                <w:lang w:val="fr-FR"/>
              </w:rPr>
              <w:t xml:space="preserve">, étant entendu toutefois que les honoraires et prix des prestations non reprises dans la nomenclature ou pour lesquelles le patient ne remplit pas les conditions fixées ne sont </w:t>
            </w:r>
            <w:r w:rsidR="00455D97" w:rsidRPr="00671DC6">
              <w:rPr>
                <w:rFonts w:ascii="Arial" w:eastAsia="Times New Roman" w:hAnsi="Arial" w:cs="Arial"/>
                <w:lang w:val="fr-FR"/>
              </w:rPr>
              <w:t>concernés</w:t>
            </w:r>
            <w:r w:rsidR="001F16B3" w:rsidRPr="00671DC6">
              <w:rPr>
                <w:rFonts w:ascii="Arial" w:eastAsia="Times New Roman" w:hAnsi="Arial" w:cs="Arial"/>
                <w:lang w:val="fr-FR"/>
              </w:rPr>
              <w:t>.</w:t>
            </w:r>
          </w:p>
        </w:tc>
        <w:tc>
          <w:tcPr>
            <w:tcW w:w="5104" w:type="dxa"/>
          </w:tcPr>
          <w:p w14:paraId="5091D996" w14:textId="097F572C" w:rsidR="00477C89" w:rsidRPr="00936805" w:rsidRDefault="00477C89" w:rsidP="00477C89">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t>Dit artikel zal voortaan ook van toepassing zijn op de akkoorden met de artsen en de tandheelkundigen. De terminologie wordt gemoderniseerd en in overeenstemming gebracht met de huidige benaming van de beroepen. De terminologie “verstrekkers van prothesen en toestellen” wordt vervangen door “de orthopedisch technologen, de audiciens en de opticiens”.</w:t>
            </w:r>
            <w:r w:rsidR="001F16B3" w:rsidRPr="00671DC6">
              <w:rPr>
                <w:lang w:val="nl-NL"/>
              </w:rPr>
              <w:t xml:space="preserve"> </w:t>
            </w:r>
            <w:r w:rsidR="001F16B3" w:rsidRPr="00671DC6">
              <w:rPr>
                <w:rFonts w:ascii="Arial" w:eastAsia="Times New Roman" w:hAnsi="Arial" w:cs="Arial"/>
                <w:lang w:val="nl-NL"/>
              </w:rPr>
              <w:t>De honoraria en prijzen worden vastgesteld door factoren te bepalen waarmee de in artikel 35, § 1, bedoelde betrekkelijke waarden dienen te worden vermenigvuldigd, waarbij evenwel geldt dat de honoraria en prijzen voor de verstrekkingen die niet in de nomenclatuur zijn opgenomen of waarvoor de patiënt niet aan de gestelde voorwaarden voldoet hieraan niet onderhevig zijn.</w:t>
            </w:r>
          </w:p>
        </w:tc>
      </w:tr>
      <w:tr w:rsidR="00477C89" w:rsidRPr="00A827F1" w14:paraId="0260B8CF" w14:textId="77777777" w:rsidTr="005F50EE">
        <w:tc>
          <w:tcPr>
            <w:tcW w:w="5104" w:type="dxa"/>
          </w:tcPr>
          <w:p w14:paraId="0F24B0C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D9E063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201AFB9" w14:textId="77777777" w:rsidTr="005F50EE">
        <w:tc>
          <w:tcPr>
            <w:tcW w:w="5104" w:type="dxa"/>
          </w:tcPr>
          <w:p w14:paraId="40D3BEC4" w14:textId="592C526E"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 possibilité dans les </w:t>
            </w:r>
            <w:r>
              <w:rPr>
                <w:rFonts w:ascii="Arial" w:eastAsia="Times New Roman" w:hAnsi="Arial" w:cs="Arial"/>
                <w:lang w:val="fr-FR"/>
              </w:rPr>
              <w:t>accords</w:t>
            </w:r>
            <w:r w:rsidRPr="00D978FA">
              <w:rPr>
                <w:rFonts w:ascii="Arial" w:eastAsia="Times New Roman" w:hAnsi="Arial" w:cs="Arial"/>
                <w:lang w:val="fr-FR"/>
              </w:rPr>
              <w:t xml:space="preserve"> de prévoir des taux d’honoraires préférentiels pour les bénéficiaires de l’intervention majorée est supprimée. Ceci ne change rien à  la protection existante des bénéficiaires de l’intervention majorée. Les montants servant de base au calcul de l’intervention de l’assurance sont les mêmes pour tous les bénéficiaires. Les bénéficiaires de l’intervention majorée ont le droit à une intervention plus élevée et paient donc moins de ticket modérateur.</w:t>
            </w:r>
          </w:p>
          <w:p w14:paraId="627E72D5" w14:textId="448736D1"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2808506A" w14:textId="14631AC8"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De mogelijkheid om in de </w:t>
            </w:r>
            <w:r>
              <w:rPr>
                <w:rFonts w:ascii="Arial" w:eastAsia="Times New Roman" w:hAnsi="Arial" w:cs="Arial"/>
                <w:lang w:val="nl-NL"/>
              </w:rPr>
              <w:t>akkoorden</w:t>
            </w:r>
            <w:r w:rsidRPr="00BC0DC7">
              <w:rPr>
                <w:rFonts w:ascii="Arial" w:eastAsia="Times New Roman" w:hAnsi="Arial" w:cs="Arial"/>
                <w:lang w:val="nl-NL"/>
              </w:rPr>
              <w:t xml:space="preserve"> te voorzien in voorkeurshonorariumbedragen voor rechthebbenden van de verhoogde verzekeringstegemoetkoming wordt geschrapt.  Dit verandert niets aan de bestaande bescherming van rechthebbenden van de verhoogde tegemoetkoming. De bedragen die als basis dienen voor de berekening van de verzekeringstegemoetkoming zijn voor alle rechthebbenden dezelfde. De rechthebbenden van de verhoogde verzekeringstegemoetkoming hebben recht op een hogere tegemoetkoming en betalen dus minder remgeld.</w:t>
            </w:r>
          </w:p>
        </w:tc>
      </w:tr>
      <w:tr w:rsidR="00477C89" w:rsidRPr="00A827F1" w14:paraId="7874C8E0" w14:textId="77777777" w:rsidTr="005F50EE">
        <w:tc>
          <w:tcPr>
            <w:tcW w:w="5104" w:type="dxa"/>
          </w:tcPr>
          <w:p w14:paraId="69B4DA1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A1F290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EB3E8F7" w14:textId="77777777" w:rsidTr="005F50EE">
        <w:tc>
          <w:tcPr>
            <w:tcW w:w="5104" w:type="dxa"/>
          </w:tcPr>
          <w:p w14:paraId="334B3E73" w14:textId="390735CF"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Par analogie avec les accords</w:t>
            </w:r>
            <w:r>
              <w:rPr>
                <w:rFonts w:ascii="Arial" w:eastAsia="Times New Roman" w:hAnsi="Arial" w:cs="Arial"/>
                <w:lang w:val="fr-FR"/>
              </w:rPr>
              <w:t xml:space="preserve"> avec les médecins et les dentistes</w:t>
            </w:r>
            <w:r w:rsidRPr="00D978FA">
              <w:rPr>
                <w:rFonts w:ascii="Arial" w:eastAsia="Times New Roman" w:hAnsi="Arial" w:cs="Arial"/>
                <w:lang w:val="fr-FR"/>
              </w:rPr>
              <w:t xml:space="preserve">, la possibilité est prévue dans les </w:t>
            </w:r>
            <w:r>
              <w:rPr>
                <w:rFonts w:ascii="Arial" w:eastAsia="Times New Roman" w:hAnsi="Arial" w:cs="Arial"/>
                <w:lang w:val="fr-FR"/>
              </w:rPr>
              <w:t>accords</w:t>
            </w:r>
            <w:r w:rsidRPr="00D978FA">
              <w:rPr>
                <w:rFonts w:ascii="Arial" w:eastAsia="Times New Roman" w:hAnsi="Arial" w:cs="Arial"/>
                <w:lang w:val="fr-FR"/>
              </w:rPr>
              <w:t xml:space="preserve"> </w:t>
            </w:r>
            <w:r>
              <w:rPr>
                <w:rFonts w:ascii="Arial" w:eastAsia="Times New Roman" w:hAnsi="Arial" w:cs="Arial"/>
                <w:lang w:val="fr-FR"/>
              </w:rPr>
              <w:t xml:space="preserve">avec les autres secteurs </w:t>
            </w:r>
            <w:r w:rsidRPr="00D978FA">
              <w:rPr>
                <w:rFonts w:ascii="Arial" w:eastAsia="Times New Roman" w:hAnsi="Arial" w:cs="Arial"/>
                <w:lang w:val="fr-FR"/>
              </w:rPr>
              <w:t>de déterminer les conditions relatives aux exigences particulières des bénéficiaires suite auxquelles le montant des honoraires et prix à porter en compte pour les prestations peut être dépassé.</w:t>
            </w:r>
            <w:r>
              <w:rPr>
                <w:rFonts w:ascii="Arial" w:eastAsia="Times New Roman" w:hAnsi="Arial" w:cs="Arial"/>
                <w:lang w:val="fr-FR"/>
              </w:rPr>
              <w:t xml:space="preserve"> </w:t>
            </w:r>
            <w:r w:rsidRPr="00D978FA">
              <w:rPr>
                <w:rFonts w:ascii="Arial" w:eastAsia="Times New Roman" w:hAnsi="Arial" w:cs="Arial"/>
                <w:lang w:val="fr-FR"/>
              </w:rPr>
              <w:t>Il peut par exemple s’agir des prestations qui, à la demande du bénéficiaire, sont réalisées après une heure déterminée, pendant le week-end, ou lors d’un jour férié légal.</w:t>
            </w:r>
          </w:p>
        </w:tc>
        <w:tc>
          <w:tcPr>
            <w:tcW w:w="5104" w:type="dxa"/>
          </w:tcPr>
          <w:p w14:paraId="68A78C07" w14:textId="19F805FE"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Naar analogie </w:t>
            </w:r>
            <w:r>
              <w:rPr>
                <w:rFonts w:ascii="Arial" w:eastAsia="Times New Roman" w:hAnsi="Arial" w:cs="Arial"/>
                <w:lang w:val="nl-NL"/>
              </w:rPr>
              <w:t>met</w:t>
            </w:r>
            <w:r w:rsidRPr="00BC0DC7">
              <w:rPr>
                <w:rFonts w:ascii="Arial" w:eastAsia="Times New Roman" w:hAnsi="Arial" w:cs="Arial"/>
                <w:lang w:val="nl-NL"/>
              </w:rPr>
              <w:t xml:space="preserve"> de akkoorden</w:t>
            </w:r>
            <w:r>
              <w:rPr>
                <w:rFonts w:ascii="Arial" w:eastAsia="Times New Roman" w:hAnsi="Arial" w:cs="Arial"/>
                <w:lang w:val="nl-NL"/>
              </w:rPr>
              <w:t xml:space="preserve"> met de artsen en de tandheelkundigen</w:t>
            </w:r>
            <w:r w:rsidRPr="00BC0DC7">
              <w:rPr>
                <w:rFonts w:ascii="Arial" w:eastAsia="Times New Roman" w:hAnsi="Arial" w:cs="Arial"/>
                <w:lang w:val="nl-NL"/>
              </w:rPr>
              <w:t xml:space="preserve"> wordt voorzien in de mogelijkheid om in de </w:t>
            </w:r>
            <w:r>
              <w:rPr>
                <w:rFonts w:ascii="Arial" w:eastAsia="Times New Roman" w:hAnsi="Arial" w:cs="Arial"/>
                <w:lang w:val="nl-NL"/>
              </w:rPr>
              <w:t>akkoorden met de andere sectoren</w:t>
            </w:r>
            <w:r w:rsidRPr="00BC0DC7">
              <w:rPr>
                <w:rFonts w:ascii="Arial" w:eastAsia="Times New Roman" w:hAnsi="Arial" w:cs="Arial"/>
                <w:lang w:val="nl-NL"/>
              </w:rPr>
              <w:t xml:space="preserve"> de voorwaarden vast te stellen inzake bijzondere eisen van de rechthebbenden waarin het bedrag der voor de verstrekkingen aan te rekenen honoraria en prijzen mag worden overschreden. Dat kan bv. gaan over verstrekkingen die op verzoek van de rechthebbende worden verricht na een bepaald uur of tijdens het weekend of op een wettelijke feestdag.</w:t>
            </w:r>
          </w:p>
        </w:tc>
      </w:tr>
      <w:tr w:rsidR="00477C89" w:rsidRPr="00A827F1" w14:paraId="30DACFD0" w14:textId="77777777" w:rsidTr="005F50EE">
        <w:tc>
          <w:tcPr>
            <w:tcW w:w="5104" w:type="dxa"/>
          </w:tcPr>
          <w:p w14:paraId="56FD58AB"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03F8B9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00F0B7E" w14:textId="77777777" w:rsidTr="005F50EE">
        <w:tc>
          <w:tcPr>
            <w:tcW w:w="5104" w:type="dxa"/>
          </w:tcPr>
          <w:p w14:paraId="49307824" w14:textId="6175294E"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Par analogie à ce qui est prévu pour les accords dento-mutualiste</w:t>
            </w:r>
            <w:r>
              <w:rPr>
                <w:rFonts w:ascii="Arial" w:eastAsia="Times New Roman" w:hAnsi="Arial" w:cs="Arial"/>
                <w:lang w:val="fr-FR"/>
              </w:rPr>
              <w:t>s</w:t>
            </w:r>
            <w:r w:rsidRPr="00D978FA">
              <w:rPr>
                <w:rFonts w:ascii="Arial" w:eastAsia="Times New Roman" w:hAnsi="Arial" w:cs="Arial"/>
                <w:lang w:val="fr-FR"/>
              </w:rPr>
              <w:t xml:space="preserve">, la possibilité est également prévue de fixer dans les </w:t>
            </w:r>
            <w:r>
              <w:rPr>
                <w:rFonts w:ascii="Arial" w:eastAsia="Times New Roman" w:hAnsi="Arial" w:cs="Arial"/>
                <w:lang w:val="fr-FR"/>
              </w:rPr>
              <w:t>accords avec les autres secteurs</w:t>
            </w:r>
            <w:r w:rsidRPr="00D978FA">
              <w:rPr>
                <w:rFonts w:ascii="Arial" w:eastAsia="Times New Roman" w:hAnsi="Arial" w:cs="Arial"/>
                <w:lang w:val="fr-FR"/>
              </w:rPr>
              <w:t xml:space="preserve"> des dépassements d’honoraires et de prix maximums autorisés</w:t>
            </w:r>
            <w:r w:rsidRPr="00936805">
              <w:rPr>
                <w:rFonts w:ascii="Arial" w:eastAsia="Times New Roman" w:hAnsi="Arial" w:cs="Arial"/>
                <w:lang w:val="fr-FR"/>
              </w:rPr>
              <w:t>, pour les dispensateurs de soins qui ont adhéré aux accords (tarifs indicatifs)</w:t>
            </w:r>
            <w:r w:rsidRPr="00D978FA">
              <w:rPr>
                <w:rFonts w:ascii="Arial" w:eastAsia="Times New Roman" w:hAnsi="Arial" w:cs="Arial"/>
                <w:lang w:val="fr-FR"/>
              </w:rPr>
              <w:t xml:space="preserve">. </w:t>
            </w:r>
            <w:r w:rsidRPr="00D978FA">
              <w:rPr>
                <w:rFonts w:ascii="Arial" w:eastAsia="Times New Roman" w:hAnsi="Arial" w:cs="Arial"/>
                <w:lang w:val="fr-FR"/>
              </w:rPr>
              <w:lastRenderedPageBreak/>
              <w:t xml:space="preserve">Les tarifs indicatifs doivent avoir un caractère temporaire et leur inclusion  </w:t>
            </w:r>
            <w:r>
              <w:rPr>
                <w:rFonts w:ascii="Arial" w:eastAsia="Times New Roman" w:hAnsi="Arial" w:cs="Arial"/>
                <w:lang w:val="fr-FR"/>
              </w:rPr>
              <w:t>doit</w:t>
            </w:r>
            <w:r w:rsidRPr="00D978FA">
              <w:rPr>
                <w:rFonts w:ascii="Arial" w:eastAsia="Times New Roman" w:hAnsi="Arial" w:cs="Arial"/>
                <w:lang w:val="fr-FR"/>
              </w:rPr>
              <w:t xml:space="preserve"> être évaluée. Ces tarifs indicatifs ne peuvent en aucun cas être généralisés à toutes les prestations. Ils peuvent seulement être prévus dans des situations spécifiques, par exemple pour des formes innovantes de soins ou lorsque la nomenclature pour certaines prestations n'a plus été réétalonnée depuis si longtemps que le </w:t>
            </w:r>
            <w:r w:rsidR="007D025D">
              <w:rPr>
                <w:rFonts w:ascii="Arial" w:eastAsia="Times New Roman" w:hAnsi="Arial" w:cs="Arial"/>
                <w:lang w:val="fr-FR"/>
              </w:rPr>
              <w:t xml:space="preserve">montant du </w:t>
            </w:r>
            <w:r w:rsidRPr="00D978FA">
              <w:rPr>
                <w:rFonts w:ascii="Arial" w:eastAsia="Times New Roman" w:hAnsi="Arial" w:cs="Arial"/>
                <w:lang w:val="fr-FR"/>
              </w:rPr>
              <w:t>remboursement est devenu obsolète. Afin de protéger les patients contre des coûts élevés de soins de santé, les tarifs indicatifs peuvent sont être repris dans le maximum à facturer.</w:t>
            </w:r>
          </w:p>
        </w:tc>
        <w:tc>
          <w:tcPr>
            <w:tcW w:w="5104" w:type="dxa"/>
          </w:tcPr>
          <w:p w14:paraId="637DE6E0" w14:textId="187489F9"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lastRenderedPageBreak/>
              <w:t xml:space="preserve">Naar analogie van wat is voorzien voor het akkoord tandheelkundigen-ziekenfondsen wordt ook voorzien in de mogelijkheid om in de </w:t>
            </w:r>
            <w:r>
              <w:rPr>
                <w:rFonts w:ascii="Arial" w:eastAsia="Times New Roman" w:hAnsi="Arial" w:cs="Arial"/>
                <w:lang w:val="nl-NL"/>
              </w:rPr>
              <w:t>akkoorden met andere sectoren</w:t>
            </w:r>
            <w:r w:rsidRPr="00BC0DC7">
              <w:rPr>
                <w:rFonts w:ascii="Arial" w:eastAsia="Times New Roman" w:hAnsi="Arial" w:cs="Arial"/>
                <w:lang w:val="nl-NL"/>
              </w:rPr>
              <w:t xml:space="preserve"> de toegestane maximale overschrijdingen van de honoraria en prijzen vast te stellen </w:t>
            </w:r>
            <w:r w:rsidRPr="009812E7">
              <w:rPr>
                <w:rFonts w:ascii="Arial" w:eastAsia="Times New Roman" w:hAnsi="Arial" w:cs="Arial"/>
                <w:lang w:val="nl-NL"/>
              </w:rPr>
              <w:t xml:space="preserve">voor de zorgverleners die tot de </w:t>
            </w:r>
            <w:r w:rsidRPr="009812E7">
              <w:rPr>
                <w:rFonts w:ascii="Arial" w:eastAsia="Times New Roman" w:hAnsi="Arial" w:cs="Arial"/>
                <w:lang w:val="nl-NL"/>
              </w:rPr>
              <w:lastRenderedPageBreak/>
              <w:t xml:space="preserve">akkoorden zijn toegetreden </w:t>
            </w:r>
            <w:r w:rsidRPr="00BC0DC7">
              <w:rPr>
                <w:rFonts w:ascii="Arial" w:eastAsia="Times New Roman" w:hAnsi="Arial" w:cs="Arial"/>
                <w:lang w:val="nl-NL"/>
              </w:rPr>
              <w:t xml:space="preserve">(richttarieven). De richttarieven moeten een tijdelijk karakter hebben en de opname van de richttarieven moet worden geëvalueerd. Die richttarieven mogen ook in geen geval worden veralgemeend tot alle verstrekkingen. Ze mogen enkel worden voorzien in bijzondere situaties, bv. voor innovatieve vormen van zorg of wanneer de nomenclatuur voor bepaalde verstrekkingen al dermate lang niet meer werd herijkt dat </w:t>
            </w:r>
            <w:r w:rsidR="007D025D">
              <w:rPr>
                <w:rFonts w:ascii="Arial" w:eastAsia="Times New Roman" w:hAnsi="Arial" w:cs="Arial"/>
                <w:lang w:val="nl-NL"/>
              </w:rPr>
              <w:t xml:space="preserve">het bedrag van </w:t>
            </w:r>
            <w:r w:rsidRPr="00BC0DC7">
              <w:rPr>
                <w:rFonts w:ascii="Arial" w:eastAsia="Times New Roman" w:hAnsi="Arial" w:cs="Arial"/>
                <w:lang w:val="nl-NL"/>
              </w:rPr>
              <w:t xml:space="preserve">de vergoeding achterhaald is. Om de patiënten te beschermen tegen hoge kosten voor gezondheidszorg </w:t>
            </w:r>
            <w:r>
              <w:rPr>
                <w:rFonts w:ascii="Arial" w:eastAsia="Times New Roman" w:hAnsi="Arial" w:cs="Arial"/>
                <w:lang w:val="nl-NL"/>
              </w:rPr>
              <w:t>worden</w:t>
            </w:r>
            <w:r w:rsidRPr="00BC0DC7">
              <w:rPr>
                <w:rFonts w:ascii="Arial" w:eastAsia="Times New Roman" w:hAnsi="Arial" w:cs="Arial"/>
                <w:lang w:val="nl-NL"/>
              </w:rPr>
              <w:t xml:space="preserve"> de richttarieven opgenomen in de maximumfactuur.</w:t>
            </w:r>
          </w:p>
        </w:tc>
      </w:tr>
      <w:tr w:rsidR="00477C89" w:rsidRPr="00A827F1" w14:paraId="5A4242E4" w14:textId="77777777" w:rsidTr="005F50EE">
        <w:tc>
          <w:tcPr>
            <w:tcW w:w="5104" w:type="dxa"/>
          </w:tcPr>
          <w:p w14:paraId="0C38E51A"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DB9C187"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EEEB6D3" w14:textId="77777777" w:rsidTr="005F50EE">
        <w:tc>
          <w:tcPr>
            <w:tcW w:w="5104" w:type="dxa"/>
          </w:tcPr>
          <w:p w14:paraId="3B0CFF91" w14:textId="3347E161"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 possibilité de fixer dans les </w:t>
            </w:r>
            <w:r>
              <w:rPr>
                <w:rFonts w:ascii="Arial" w:eastAsia="Times New Roman" w:hAnsi="Arial" w:cs="Arial"/>
                <w:lang w:val="fr-FR"/>
              </w:rPr>
              <w:t>accords</w:t>
            </w:r>
            <w:r w:rsidRPr="00D978FA">
              <w:rPr>
                <w:rFonts w:ascii="Arial" w:eastAsia="Times New Roman" w:hAnsi="Arial" w:cs="Arial"/>
                <w:lang w:val="fr-FR"/>
              </w:rPr>
              <w:t xml:space="preserve"> des conditions pour les prestations dispensées à des bénéficiaires dont les revenus annuels dépassent un montant à fixer dans les </w:t>
            </w:r>
            <w:r>
              <w:rPr>
                <w:rFonts w:ascii="Arial" w:eastAsia="Times New Roman" w:hAnsi="Arial" w:cs="Arial"/>
                <w:lang w:val="fr-FR"/>
              </w:rPr>
              <w:t>accords</w:t>
            </w:r>
            <w:r w:rsidRPr="00D978FA">
              <w:rPr>
                <w:rFonts w:ascii="Arial" w:eastAsia="Times New Roman" w:hAnsi="Arial" w:cs="Arial"/>
                <w:lang w:val="fr-FR"/>
              </w:rPr>
              <w:t xml:space="preserve"> est supprimée.</w:t>
            </w:r>
          </w:p>
        </w:tc>
        <w:tc>
          <w:tcPr>
            <w:tcW w:w="5104" w:type="dxa"/>
          </w:tcPr>
          <w:p w14:paraId="7CB5363D" w14:textId="35E00C5B"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De mogelijkheid om in de </w:t>
            </w:r>
            <w:r>
              <w:rPr>
                <w:rFonts w:ascii="Arial" w:eastAsia="Times New Roman" w:hAnsi="Arial" w:cs="Arial"/>
                <w:lang w:val="nl-NL"/>
              </w:rPr>
              <w:t>akkoorden</w:t>
            </w:r>
            <w:r w:rsidRPr="00BC0DC7">
              <w:rPr>
                <w:rFonts w:ascii="Arial" w:eastAsia="Times New Roman" w:hAnsi="Arial" w:cs="Arial"/>
                <w:lang w:val="nl-NL"/>
              </w:rPr>
              <w:t xml:space="preserve"> voorwaarden te bepalen voor verstrekkingen aan rechthebbenden met een jaarlijks inkomen boven een bij de </w:t>
            </w:r>
            <w:r>
              <w:rPr>
                <w:rFonts w:ascii="Arial" w:eastAsia="Times New Roman" w:hAnsi="Arial" w:cs="Arial"/>
                <w:lang w:val="nl-NL"/>
              </w:rPr>
              <w:t>akkoorden</w:t>
            </w:r>
            <w:r w:rsidRPr="00BC0DC7">
              <w:rPr>
                <w:rFonts w:ascii="Arial" w:eastAsia="Times New Roman" w:hAnsi="Arial" w:cs="Arial"/>
                <w:lang w:val="nl-NL"/>
              </w:rPr>
              <w:t xml:space="preserve"> vast te stellen bedrag wordt geschrapt.</w:t>
            </w:r>
          </w:p>
        </w:tc>
      </w:tr>
      <w:tr w:rsidR="00477C89" w:rsidRPr="00A827F1" w14:paraId="62E533E6" w14:textId="77777777" w:rsidTr="005F50EE">
        <w:tc>
          <w:tcPr>
            <w:tcW w:w="5104" w:type="dxa"/>
          </w:tcPr>
          <w:p w14:paraId="3BC90AF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AB7A94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D7B36BC" w14:textId="77777777" w:rsidTr="005F50EE">
        <w:tc>
          <w:tcPr>
            <w:tcW w:w="5104" w:type="dxa"/>
          </w:tcPr>
          <w:p w14:paraId="70EEF1C8" w14:textId="4254B597" w:rsidR="00477C89" w:rsidRPr="00825BC0" w:rsidRDefault="00477C89" w:rsidP="00477C89">
            <w:pPr>
              <w:spacing w:after="0" w:line="240" w:lineRule="auto"/>
              <w:jc w:val="both"/>
              <w:outlineLvl w:val="0"/>
              <w:rPr>
                <w:rFonts w:ascii="Arial" w:eastAsia="Times New Roman" w:hAnsi="Arial" w:cs="Arial"/>
                <w:lang w:val="fr-FR"/>
              </w:rPr>
            </w:pPr>
            <w:r w:rsidRPr="00825BC0">
              <w:rPr>
                <w:rFonts w:ascii="Arial" w:eastAsia="Times New Roman" w:hAnsi="Arial" w:cs="Arial"/>
                <w:lang w:val="fr-FR"/>
              </w:rPr>
              <w:t xml:space="preserve">Pour les médecins et les dentistes, la possibilité d’un conventionnement partiel est maintenue. </w:t>
            </w:r>
          </w:p>
        </w:tc>
        <w:tc>
          <w:tcPr>
            <w:tcW w:w="5104" w:type="dxa"/>
          </w:tcPr>
          <w:p w14:paraId="19BE882F" w14:textId="46C73301" w:rsidR="00477C89" w:rsidRPr="00DF4489" w:rsidRDefault="00477C89" w:rsidP="00477C89">
            <w:pPr>
              <w:spacing w:after="0" w:line="240" w:lineRule="auto"/>
              <w:jc w:val="both"/>
              <w:outlineLvl w:val="0"/>
              <w:rPr>
                <w:rFonts w:ascii="Arial" w:eastAsia="Times New Roman" w:hAnsi="Arial" w:cs="Arial"/>
                <w:lang w:val="nl-NL"/>
              </w:rPr>
            </w:pPr>
            <w:r w:rsidRPr="00E11D3F">
              <w:rPr>
                <w:rFonts w:ascii="Arial" w:eastAsia="Times New Roman" w:hAnsi="Arial" w:cs="Arial"/>
                <w:lang w:val="nl-NL"/>
              </w:rPr>
              <w:t xml:space="preserve">Voor de artsen en de tandartsen wordt de mogelijkheid van gedeeltelijke conventionering behouden. </w:t>
            </w:r>
          </w:p>
        </w:tc>
      </w:tr>
      <w:tr w:rsidR="00477C89" w:rsidRPr="00A827F1" w14:paraId="7289D3CF" w14:textId="77777777" w:rsidTr="005F50EE">
        <w:tc>
          <w:tcPr>
            <w:tcW w:w="5104" w:type="dxa"/>
          </w:tcPr>
          <w:p w14:paraId="289F141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9D16E85"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50DF2C09" w14:textId="77777777" w:rsidTr="005F50EE">
        <w:tc>
          <w:tcPr>
            <w:tcW w:w="5104" w:type="dxa"/>
          </w:tcPr>
          <w:p w14:paraId="7320A2FA" w14:textId="7B43937D"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L’actuel paragraphe 6, qui habilite le Roi à instaurer un régime spécial en matière d’assurance-survie et invalidité pour les personnes qui adhèrent au contrat, est </w:t>
            </w:r>
            <w:r w:rsidRPr="00936805">
              <w:rPr>
                <w:rFonts w:ascii="Arial" w:eastAsia="Times New Roman" w:hAnsi="Arial" w:cs="Arial"/>
                <w:lang w:val="fr-FR"/>
              </w:rPr>
              <w:t>supprimé, compte tenu des avantages sociaux et autres avantages qui peuvent être accordés aux dispensateurs de soins sur base de l’article 54 de la loi coordonnée</w:t>
            </w:r>
            <w:r w:rsidRPr="00D978FA">
              <w:rPr>
                <w:rFonts w:ascii="Arial" w:eastAsia="Times New Roman" w:hAnsi="Arial" w:cs="Arial"/>
                <w:lang w:val="fr-FR"/>
              </w:rPr>
              <w:t>.</w:t>
            </w:r>
          </w:p>
        </w:tc>
        <w:tc>
          <w:tcPr>
            <w:tcW w:w="5104" w:type="dxa"/>
          </w:tcPr>
          <w:p w14:paraId="46193A52" w14:textId="22B13023"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De huidige paragraaf 6, die de Koning machtigt  om voor de personen die tot de overeenkomst toetreden een speciale regeling inzake overlevings- en invaliditeitsverzekering in te voeren, wordt geschrapt gelet op de sociale voordelen en andere voordelen die aan zorgverleners kunnen worden toegekend op grond van artikel 54 van de gecoördineerde wet.</w:t>
            </w:r>
          </w:p>
        </w:tc>
      </w:tr>
      <w:tr w:rsidR="00477C89" w:rsidRPr="00A827F1" w14:paraId="114EAB5D" w14:textId="77777777" w:rsidTr="005F50EE">
        <w:tc>
          <w:tcPr>
            <w:tcW w:w="5104" w:type="dxa"/>
          </w:tcPr>
          <w:p w14:paraId="1BBFD2A3"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9007329"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9B50C8" w14:paraId="18A7BF66" w14:textId="77777777" w:rsidTr="005F50EE">
        <w:tc>
          <w:tcPr>
            <w:tcW w:w="5104" w:type="dxa"/>
          </w:tcPr>
          <w:p w14:paraId="0082DDAD" w14:textId="2CC6C9E2" w:rsidR="00477C89" w:rsidRPr="00DF4489" w:rsidRDefault="00477C89" w:rsidP="00477C89">
            <w:pPr>
              <w:spacing w:after="0" w:line="240" w:lineRule="auto"/>
              <w:jc w:val="center"/>
              <w:outlineLvl w:val="0"/>
              <w:rPr>
                <w:rFonts w:ascii="Arial" w:eastAsia="Times New Roman" w:hAnsi="Arial" w:cs="Arial"/>
                <w:lang w:val="nl-NL"/>
              </w:rPr>
            </w:pPr>
            <w:r w:rsidRPr="00EE6F91">
              <w:rPr>
                <w:rFonts w:ascii="Arial" w:hAnsi="Arial" w:cs="Arial"/>
                <w:b/>
                <w:bCs/>
                <w:lang w:val="nl-NL"/>
              </w:rPr>
              <w:t>Art. X</w:t>
            </w:r>
            <w:r>
              <w:rPr>
                <w:rFonts w:ascii="Arial" w:hAnsi="Arial" w:cs="Arial"/>
                <w:b/>
                <w:bCs/>
                <w:lang w:val="nl-NL"/>
              </w:rPr>
              <w:t>+14</w:t>
            </w:r>
          </w:p>
        </w:tc>
        <w:tc>
          <w:tcPr>
            <w:tcW w:w="5104" w:type="dxa"/>
          </w:tcPr>
          <w:p w14:paraId="377EDB16" w14:textId="4B5F0023" w:rsidR="00477C89" w:rsidRPr="00DF4489" w:rsidRDefault="00477C89" w:rsidP="00477C89">
            <w:pPr>
              <w:spacing w:after="0" w:line="240" w:lineRule="auto"/>
              <w:jc w:val="center"/>
              <w:outlineLvl w:val="0"/>
              <w:rPr>
                <w:rFonts w:ascii="Arial" w:eastAsia="Times New Roman" w:hAnsi="Arial" w:cs="Arial"/>
                <w:lang w:val="nl-NL"/>
              </w:rPr>
            </w:pPr>
            <w:r w:rsidRPr="00EE6F91">
              <w:rPr>
                <w:rFonts w:ascii="Arial" w:hAnsi="Arial" w:cs="Arial"/>
                <w:b/>
                <w:bCs/>
                <w:lang w:val="nl-NL"/>
              </w:rPr>
              <w:t>Art. X</w:t>
            </w:r>
            <w:r>
              <w:rPr>
                <w:rFonts w:ascii="Arial" w:hAnsi="Arial" w:cs="Arial"/>
                <w:b/>
                <w:bCs/>
                <w:lang w:val="nl-NL"/>
              </w:rPr>
              <w:t>+14</w:t>
            </w:r>
          </w:p>
        </w:tc>
      </w:tr>
      <w:tr w:rsidR="00477C89" w:rsidRPr="009B50C8" w14:paraId="1856AE6C" w14:textId="77777777" w:rsidTr="005F50EE">
        <w:tc>
          <w:tcPr>
            <w:tcW w:w="5104" w:type="dxa"/>
          </w:tcPr>
          <w:p w14:paraId="563F873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E3452B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A4766EE" w14:textId="77777777" w:rsidTr="005F50EE">
        <w:tc>
          <w:tcPr>
            <w:tcW w:w="5104" w:type="dxa"/>
          </w:tcPr>
          <w:p w14:paraId="5A73F644" w14:textId="7D56FFEC" w:rsidR="00477C89" w:rsidRPr="00936805" w:rsidRDefault="00477C89" w:rsidP="00477C89">
            <w:pPr>
              <w:spacing w:after="0" w:line="240" w:lineRule="auto"/>
              <w:jc w:val="both"/>
              <w:outlineLvl w:val="0"/>
              <w:rPr>
                <w:rFonts w:ascii="Arial" w:eastAsia="Times New Roman" w:hAnsi="Arial" w:cs="Arial"/>
                <w:lang w:val="fr-FR"/>
              </w:rPr>
            </w:pPr>
            <w:r w:rsidRPr="00936805">
              <w:rPr>
                <w:rFonts w:ascii="Arial" w:eastAsia="Times New Roman" w:hAnsi="Arial" w:cs="Arial"/>
                <w:lang w:val="fr-FR"/>
              </w:rPr>
              <w:t>L’article 46 de la loi coordonnée est modifié pour que le terme « accords » soit également utilisé ici.</w:t>
            </w:r>
          </w:p>
        </w:tc>
        <w:tc>
          <w:tcPr>
            <w:tcW w:w="5104" w:type="dxa"/>
          </w:tcPr>
          <w:p w14:paraId="2DBB6CBD" w14:textId="5AA61329"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Artikel 46 van de gecoördineerde wet wordt aangepast zodat ook hier de term “akkoorden” wordt gebruikt.</w:t>
            </w:r>
          </w:p>
        </w:tc>
      </w:tr>
      <w:tr w:rsidR="00477C89" w:rsidRPr="00A827F1" w14:paraId="18184775" w14:textId="77777777" w:rsidTr="005F50EE">
        <w:tc>
          <w:tcPr>
            <w:tcW w:w="5104" w:type="dxa"/>
          </w:tcPr>
          <w:p w14:paraId="7552ABD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F987D9F" w14:textId="77777777" w:rsidR="00477C89" w:rsidRPr="00936805" w:rsidRDefault="00477C89" w:rsidP="00477C89">
            <w:pPr>
              <w:spacing w:after="0" w:line="240" w:lineRule="auto"/>
              <w:jc w:val="both"/>
              <w:outlineLvl w:val="0"/>
              <w:rPr>
                <w:rFonts w:ascii="Arial" w:eastAsia="Times New Roman" w:hAnsi="Arial" w:cs="Arial"/>
                <w:lang w:val="nl-NL"/>
              </w:rPr>
            </w:pPr>
          </w:p>
        </w:tc>
      </w:tr>
      <w:tr w:rsidR="00477C89" w:rsidRPr="009B50C8" w14:paraId="6529ACD5" w14:textId="77777777" w:rsidTr="005F50EE">
        <w:tc>
          <w:tcPr>
            <w:tcW w:w="5104" w:type="dxa"/>
          </w:tcPr>
          <w:p w14:paraId="1E2F579C" w14:textId="50925F18" w:rsidR="00477C89" w:rsidRPr="00DF4489" w:rsidRDefault="00477C89" w:rsidP="00477C89">
            <w:pPr>
              <w:spacing w:after="0" w:line="240" w:lineRule="auto"/>
              <w:jc w:val="center"/>
              <w:outlineLvl w:val="0"/>
              <w:rPr>
                <w:rFonts w:ascii="Arial" w:eastAsia="Times New Roman" w:hAnsi="Arial" w:cs="Arial"/>
                <w:lang w:val="nl-NL"/>
              </w:rPr>
            </w:pPr>
            <w:r w:rsidRPr="00936805">
              <w:rPr>
                <w:rFonts w:ascii="Arial" w:hAnsi="Arial" w:cs="Arial"/>
                <w:b/>
                <w:bCs/>
                <w:lang w:val="nl-NL"/>
              </w:rPr>
              <w:t>Art. X+</w:t>
            </w:r>
            <w:r>
              <w:rPr>
                <w:rFonts w:ascii="Arial" w:hAnsi="Arial" w:cs="Arial"/>
                <w:b/>
                <w:bCs/>
                <w:lang w:val="nl-NL"/>
              </w:rPr>
              <w:t>16</w:t>
            </w:r>
          </w:p>
        </w:tc>
        <w:tc>
          <w:tcPr>
            <w:tcW w:w="5104" w:type="dxa"/>
          </w:tcPr>
          <w:p w14:paraId="1940C747" w14:textId="71434C99" w:rsidR="00477C89" w:rsidRPr="00936805" w:rsidRDefault="00477C89" w:rsidP="00477C89">
            <w:pPr>
              <w:spacing w:after="0" w:line="240" w:lineRule="auto"/>
              <w:jc w:val="center"/>
              <w:outlineLvl w:val="0"/>
              <w:rPr>
                <w:rFonts w:ascii="Arial" w:eastAsia="Times New Roman" w:hAnsi="Arial" w:cs="Arial"/>
                <w:lang w:val="nl-NL"/>
              </w:rPr>
            </w:pPr>
            <w:r w:rsidRPr="00936805">
              <w:rPr>
                <w:rFonts w:ascii="Arial" w:hAnsi="Arial" w:cs="Arial"/>
                <w:b/>
                <w:bCs/>
                <w:lang w:val="nl-NL"/>
              </w:rPr>
              <w:t>Art. X+</w:t>
            </w:r>
            <w:r>
              <w:rPr>
                <w:rFonts w:ascii="Arial" w:hAnsi="Arial" w:cs="Arial"/>
                <w:b/>
                <w:bCs/>
                <w:lang w:val="nl-NL"/>
              </w:rPr>
              <w:t>16</w:t>
            </w:r>
          </w:p>
        </w:tc>
      </w:tr>
      <w:tr w:rsidR="00477C89" w:rsidRPr="009B50C8" w14:paraId="3C881737" w14:textId="77777777" w:rsidTr="005F50EE">
        <w:tc>
          <w:tcPr>
            <w:tcW w:w="5104" w:type="dxa"/>
          </w:tcPr>
          <w:p w14:paraId="0B48E18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5FFAC77" w14:textId="77777777" w:rsidR="00477C89" w:rsidRPr="00936805" w:rsidRDefault="00477C89" w:rsidP="00477C89">
            <w:pPr>
              <w:spacing w:after="0" w:line="240" w:lineRule="auto"/>
              <w:jc w:val="both"/>
              <w:outlineLvl w:val="0"/>
              <w:rPr>
                <w:rFonts w:ascii="Arial" w:eastAsia="Times New Roman" w:hAnsi="Arial" w:cs="Arial"/>
                <w:lang w:val="nl-NL"/>
              </w:rPr>
            </w:pPr>
          </w:p>
        </w:tc>
      </w:tr>
      <w:tr w:rsidR="00477C89" w:rsidRPr="00A827F1" w14:paraId="05B7D1C5" w14:textId="77777777" w:rsidTr="005F50EE">
        <w:tc>
          <w:tcPr>
            <w:tcW w:w="5104" w:type="dxa"/>
          </w:tcPr>
          <w:p w14:paraId="1F4E29AA" w14:textId="79AEB599" w:rsidR="00477C89" w:rsidRPr="00936805" w:rsidRDefault="00477C89" w:rsidP="00477C89">
            <w:pPr>
              <w:spacing w:after="0" w:line="240" w:lineRule="auto"/>
              <w:jc w:val="both"/>
              <w:outlineLvl w:val="0"/>
              <w:rPr>
                <w:rFonts w:ascii="Arial" w:eastAsia="Times New Roman" w:hAnsi="Arial" w:cs="Arial"/>
                <w:lang w:val="fr-FR"/>
              </w:rPr>
            </w:pPr>
            <w:r w:rsidRPr="00936805">
              <w:rPr>
                <w:rFonts w:ascii="Arial" w:eastAsia="Times New Roman" w:hAnsi="Arial" w:cs="Arial"/>
                <w:lang w:val="fr-FR"/>
              </w:rPr>
              <w:t>L’article 47 de la loi coordonnée est modifié pour que les termes « accords » et « commissions d’accords » soient également utilisés ici.</w:t>
            </w:r>
          </w:p>
        </w:tc>
        <w:tc>
          <w:tcPr>
            <w:tcW w:w="5104" w:type="dxa"/>
          </w:tcPr>
          <w:p w14:paraId="14A1293D" w14:textId="1E8383A7"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Artikel 47 van de gecoördineerde wet wordt aangepast zodat ook hier de termen ” “akkoorden” en “akkoordencommissie” worden gebruikt.</w:t>
            </w:r>
          </w:p>
        </w:tc>
      </w:tr>
      <w:tr w:rsidR="00477C89" w:rsidRPr="00A827F1" w14:paraId="13B846FA" w14:textId="77777777" w:rsidTr="005F50EE">
        <w:tc>
          <w:tcPr>
            <w:tcW w:w="5104" w:type="dxa"/>
          </w:tcPr>
          <w:p w14:paraId="36ADB77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1632612" w14:textId="77777777" w:rsidR="00477C89" w:rsidRPr="00936805" w:rsidRDefault="00477C89" w:rsidP="00477C89">
            <w:pPr>
              <w:spacing w:after="0" w:line="240" w:lineRule="auto"/>
              <w:jc w:val="both"/>
              <w:outlineLvl w:val="0"/>
              <w:rPr>
                <w:rFonts w:ascii="Arial" w:eastAsia="Times New Roman" w:hAnsi="Arial" w:cs="Arial"/>
                <w:lang w:val="nl-NL"/>
              </w:rPr>
            </w:pPr>
          </w:p>
        </w:tc>
      </w:tr>
      <w:tr w:rsidR="00477C89" w:rsidRPr="00EE6F91" w14:paraId="349917AE" w14:textId="77777777" w:rsidTr="005F50EE">
        <w:tc>
          <w:tcPr>
            <w:tcW w:w="5104" w:type="dxa"/>
          </w:tcPr>
          <w:p w14:paraId="711DAC7D" w14:textId="6DA7BA38"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+18</w:t>
            </w:r>
          </w:p>
        </w:tc>
        <w:tc>
          <w:tcPr>
            <w:tcW w:w="5104" w:type="dxa"/>
          </w:tcPr>
          <w:p w14:paraId="1A6F22DC" w14:textId="4DF6965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+18</w:t>
            </w:r>
          </w:p>
        </w:tc>
      </w:tr>
      <w:tr w:rsidR="00477C89" w:rsidRPr="004722CA" w14:paraId="03B288A8" w14:textId="77777777" w:rsidTr="005F50EE">
        <w:tc>
          <w:tcPr>
            <w:tcW w:w="5104" w:type="dxa"/>
          </w:tcPr>
          <w:p w14:paraId="66F56A9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008264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90EA39A" w14:textId="77777777" w:rsidTr="005F50EE">
        <w:tc>
          <w:tcPr>
            <w:tcW w:w="5104" w:type="dxa"/>
          </w:tcPr>
          <w:p w14:paraId="47F3F7B9" w14:textId="0A9D1102"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L’article 48 de la loi coordonnée contient </w:t>
            </w:r>
            <w:r>
              <w:rPr>
                <w:rFonts w:ascii="Arial" w:eastAsia="Times New Roman" w:hAnsi="Arial" w:cs="Arial"/>
                <w:lang w:val="fr-FR"/>
              </w:rPr>
              <w:t>d</w:t>
            </w:r>
            <w:r w:rsidRPr="00D978FA">
              <w:rPr>
                <w:rFonts w:ascii="Arial" w:eastAsia="Times New Roman" w:hAnsi="Arial" w:cs="Arial"/>
                <w:lang w:val="fr-FR"/>
              </w:rPr>
              <w:t>es dispositions concernant le contenu des conventions avec les pharmaciens.</w:t>
            </w:r>
          </w:p>
          <w:p w14:paraId="7331547E" w14:textId="326536C8"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46836035" w14:textId="69DD4CF1"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lastRenderedPageBreak/>
              <w:t xml:space="preserve">Artikel 48 van de gecoördineerde wet bevat bepalingen betreffende de inhoud van de overeenkomsten met de apothekers. </w:t>
            </w:r>
          </w:p>
        </w:tc>
      </w:tr>
      <w:tr w:rsidR="00477C89" w:rsidRPr="00A827F1" w14:paraId="754B5265" w14:textId="77777777" w:rsidTr="005F50EE">
        <w:tc>
          <w:tcPr>
            <w:tcW w:w="5104" w:type="dxa"/>
          </w:tcPr>
          <w:p w14:paraId="5AC8558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285E26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7881E24" w14:textId="77777777" w:rsidTr="005F50EE">
        <w:tc>
          <w:tcPr>
            <w:tcW w:w="5104" w:type="dxa"/>
          </w:tcPr>
          <w:p w14:paraId="6FF36B06" w14:textId="5736EF5B" w:rsidR="00477C89" w:rsidRPr="00D978FA" w:rsidRDefault="00477C89" w:rsidP="00477C89">
            <w:pPr>
              <w:spacing w:after="0" w:line="240" w:lineRule="auto"/>
              <w:jc w:val="both"/>
              <w:outlineLvl w:val="0"/>
              <w:rPr>
                <w:rFonts w:ascii="Arial" w:eastAsia="Times New Roman" w:hAnsi="Arial" w:cs="Arial"/>
                <w:lang w:val="fr-FR"/>
              </w:rPr>
            </w:pPr>
            <w:r>
              <w:rPr>
                <w:rFonts w:ascii="Arial" w:eastAsia="Times New Roman" w:hAnsi="Arial" w:cs="Arial"/>
                <w:lang w:val="fr-FR"/>
              </w:rPr>
              <w:t>La terminologie est adaptée et l</w:t>
            </w:r>
            <w:r w:rsidRPr="00D978FA">
              <w:rPr>
                <w:rFonts w:ascii="Arial" w:eastAsia="Times New Roman" w:hAnsi="Arial" w:cs="Arial"/>
                <w:lang w:val="fr-FR"/>
              </w:rPr>
              <w:t xml:space="preserve">a possibilité dans les </w:t>
            </w:r>
            <w:r>
              <w:rPr>
                <w:rFonts w:ascii="Arial" w:eastAsia="Times New Roman" w:hAnsi="Arial" w:cs="Arial"/>
                <w:lang w:val="fr-FR"/>
              </w:rPr>
              <w:t>accords</w:t>
            </w:r>
            <w:r w:rsidRPr="00D978FA">
              <w:rPr>
                <w:rFonts w:ascii="Arial" w:eastAsia="Times New Roman" w:hAnsi="Arial" w:cs="Arial"/>
                <w:lang w:val="fr-FR"/>
              </w:rPr>
              <w:t xml:space="preserve"> de prévoir des taux d’honoraires préférentiels pour les bénéficiaires de l’intervention majorée est supprimée. Ceci ne change rien à  la protection existante des bénéficiaires de l’intervention majorée. Les montants servant de base au calcul de l’intervention de l’assurance sont les mêmes pour tous les bénéficiaires. Les bénéficiaires de l’intervention majorée ont le droit à une intervention plus élevée et paient donc moins de ticket modérateur.</w:t>
            </w:r>
          </w:p>
          <w:p w14:paraId="65A4E9BF" w14:textId="1EC89090"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02A82460" w14:textId="3AD3C759" w:rsidR="00477C89" w:rsidRPr="00DF4489" w:rsidRDefault="00477C89" w:rsidP="00477C89">
            <w:pPr>
              <w:spacing w:after="0" w:line="240" w:lineRule="auto"/>
              <w:jc w:val="both"/>
              <w:outlineLvl w:val="0"/>
              <w:rPr>
                <w:rFonts w:ascii="Arial" w:eastAsia="Times New Roman" w:hAnsi="Arial" w:cs="Arial"/>
                <w:lang w:val="nl-NL"/>
              </w:rPr>
            </w:pPr>
            <w:r w:rsidRPr="001949D7">
              <w:rPr>
                <w:rFonts w:ascii="Arial" w:eastAsia="Times New Roman" w:hAnsi="Arial" w:cs="Arial"/>
                <w:lang w:val="nl-NL"/>
              </w:rPr>
              <w:t xml:space="preserve">De terminologie wordt aangepast en </w:t>
            </w:r>
            <w:r>
              <w:rPr>
                <w:rFonts w:ascii="Arial" w:eastAsia="Times New Roman" w:hAnsi="Arial" w:cs="Arial"/>
                <w:lang w:val="nl-NL"/>
              </w:rPr>
              <w:t>d</w:t>
            </w:r>
            <w:r w:rsidRPr="00BC0DC7">
              <w:rPr>
                <w:rFonts w:ascii="Arial" w:eastAsia="Times New Roman" w:hAnsi="Arial" w:cs="Arial"/>
                <w:lang w:val="nl-NL"/>
              </w:rPr>
              <w:t xml:space="preserve">e mogelijkheid om in de </w:t>
            </w:r>
            <w:r>
              <w:rPr>
                <w:rFonts w:ascii="Arial" w:eastAsia="Times New Roman" w:hAnsi="Arial" w:cs="Arial"/>
                <w:lang w:val="nl-NL"/>
              </w:rPr>
              <w:t>akkoorden</w:t>
            </w:r>
            <w:r w:rsidRPr="00BC0DC7">
              <w:rPr>
                <w:rFonts w:ascii="Arial" w:eastAsia="Times New Roman" w:hAnsi="Arial" w:cs="Arial"/>
                <w:lang w:val="nl-NL"/>
              </w:rPr>
              <w:t xml:space="preserve"> te voorzien in voorkeurshonorariumbedragen voor rechthebbenden van de verhoogde verzekeringstegemoetkoming wordt geschrapt.  Dit verandert niets aan de bestaande bescherming van rechthebbenden van de verhoogde tegemoetkoming. De bedragen die als basis dienen voor de berekening van de verzekeringstegemoetkoming zijn voor alle rechthebbenden dezelfde. De rechthebbenden van de verhoogde verzekeringstegemoetkoming hebben recht op een hogere tegemoetkoming en betalen dus minder remgeld.</w:t>
            </w:r>
          </w:p>
        </w:tc>
      </w:tr>
      <w:tr w:rsidR="00477C89" w:rsidRPr="00A827F1" w14:paraId="55B622CA" w14:textId="77777777" w:rsidTr="005F50EE">
        <w:tc>
          <w:tcPr>
            <w:tcW w:w="5104" w:type="dxa"/>
          </w:tcPr>
          <w:p w14:paraId="1DC0CA7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823851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640F71C" w14:textId="77777777" w:rsidTr="005F50EE">
        <w:tc>
          <w:tcPr>
            <w:tcW w:w="5104" w:type="dxa"/>
          </w:tcPr>
          <w:p w14:paraId="4761923F" w14:textId="699383DC"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 possibilité de fixer dans les </w:t>
            </w:r>
            <w:r>
              <w:rPr>
                <w:rFonts w:ascii="Arial" w:eastAsia="Times New Roman" w:hAnsi="Arial" w:cs="Arial"/>
                <w:lang w:val="fr-FR"/>
              </w:rPr>
              <w:t>accords</w:t>
            </w:r>
            <w:r w:rsidRPr="00D978FA">
              <w:rPr>
                <w:rFonts w:ascii="Arial" w:eastAsia="Times New Roman" w:hAnsi="Arial" w:cs="Arial"/>
                <w:lang w:val="fr-FR"/>
              </w:rPr>
              <w:t xml:space="preserve"> des conditions pour les prestations dispensées à des bénéficiaires dont les revenus annuels dépassent un montant à fixer dans les conventions est supprimée.</w:t>
            </w:r>
          </w:p>
        </w:tc>
        <w:tc>
          <w:tcPr>
            <w:tcW w:w="5104" w:type="dxa"/>
          </w:tcPr>
          <w:p w14:paraId="05346630" w14:textId="7591C7EA"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De mogelijkheid om in de </w:t>
            </w:r>
            <w:r>
              <w:rPr>
                <w:rFonts w:ascii="Arial" w:eastAsia="Times New Roman" w:hAnsi="Arial" w:cs="Arial"/>
                <w:lang w:val="nl-NL"/>
              </w:rPr>
              <w:t>akkoorden</w:t>
            </w:r>
            <w:r w:rsidRPr="00BC0DC7">
              <w:rPr>
                <w:rFonts w:ascii="Arial" w:eastAsia="Times New Roman" w:hAnsi="Arial" w:cs="Arial"/>
                <w:lang w:val="nl-NL"/>
              </w:rPr>
              <w:t xml:space="preserve"> voorwaarden te bepalen voor verstrekkingen aan rechthebbenden met een jaarlijks inkomen boven een bij de overeenkomsten vast te stellen bedrag wordt geschrapt.</w:t>
            </w:r>
          </w:p>
        </w:tc>
      </w:tr>
      <w:tr w:rsidR="00477C89" w:rsidRPr="00A827F1" w14:paraId="73F1E272" w14:textId="77777777" w:rsidTr="005F50EE">
        <w:tc>
          <w:tcPr>
            <w:tcW w:w="5104" w:type="dxa"/>
          </w:tcPr>
          <w:p w14:paraId="5FAF8D0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CC24585"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4F9AAF35" w14:textId="77777777" w:rsidTr="005F50EE">
        <w:tc>
          <w:tcPr>
            <w:tcW w:w="5104" w:type="dxa"/>
          </w:tcPr>
          <w:p w14:paraId="31345418" w14:textId="58D2F1B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+19</w:t>
            </w:r>
          </w:p>
        </w:tc>
        <w:tc>
          <w:tcPr>
            <w:tcW w:w="5104" w:type="dxa"/>
          </w:tcPr>
          <w:p w14:paraId="3F8AEC5E" w14:textId="1746859C"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+19</w:t>
            </w:r>
          </w:p>
        </w:tc>
      </w:tr>
      <w:tr w:rsidR="00477C89" w:rsidRPr="004722CA" w14:paraId="6EC5DC49" w14:textId="77777777" w:rsidTr="005F50EE">
        <w:tc>
          <w:tcPr>
            <w:tcW w:w="5104" w:type="dxa"/>
          </w:tcPr>
          <w:p w14:paraId="2189153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300BFAC"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01E8ACF" w14:textId="77777777" w:rsidTr="005F50EE">
        <w:tc>
          <w:tcPr>
            <w:tcW w:w="5104" w:type="dxa"/>
          </w:tcPr>
          <w:p w14:paraId="39C9D60B" w14:textId="10A2C171"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L’article 49 de la loi coordonnée contient les dispositions communes aux conventions.</w:t>
            </w:r>
          </w:p>
        </w:tc>
        <w:tc>
          <w:tcPr>
            <w:tcW w:w="5104" w:type="dxa"/>
          </w:tcPr>
          <w:p w14:paraId="0F252C3B" w14:textId="7F34D865"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Artikel 49 van de gecoördineerde wet bevat </w:t>
            </w:r>
            <w:r>
              <w:rPr>
                <w:rFonts w:ascii="Arial" w:eastAsia="Times New Roman" w:hAnsi="Arial" w:cs="Arial"/>
                <w:lang w:val="nl-NL"/>
              </w:rPr>
              <w:t>al</w:t>
            </w:r>
            <w:r w:rsidRPr="00BC0DC7">
              <w:rPr>
                <w:rFonts w:ascii="Arial" w:eastAsia="Times New Roman" w:hAnsi="Arial" w:cs="Arial"/>
                <w:lang w:val="nl-NL"/>
              </w:rPr>
              <w:t xml:space="preserve">gemene bepalingen voor de overeenkomsten.  </w:t>
            </w:r>
          </w:p>
        </w:tc>
      </w:tr>
      <w:tr w:rsidR="00477C89" w:rsidRPr="00A827F1" w14:paraId="19B730B3" w14:textId="77777777" w:rsidTr="005F50EE">
        <w:tc>
          <w:tcPr>
            <w:tcW w:w="5104" w:type="dxa"/>
          </w:tcPr>
          <w:p w14:paraId="4EBFE39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28B0122"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441CE37" w14:textId="77777777" w:rsidTr="005F50EE">
        <w:tc>
          <w:tcPr>
            <w:tcW w:w="5104" w:type="dxa"/>
          </w:tcPr>
          <w:p w14:paraId="2796B4E5" w14:textId="564BB9BD"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En vertu de l'actuel paragraphe 2, les conventions peuvent prévoir que la commission au sein de laquelle a été conclue la convention est compétente pour concilier les contestations qui peuvent surgir à propos de l'interprétation ou de l'exécution des conventions et que la commission peut prendre l'avis du conseil technique compétent lorsque la contestation porte sur l'interprétation de la nomenclature. Ce paragraphe est réécrit dans le sens où les commissions sont compétentes. Cette compétence ne devra donc plus être déterminée dans les </w:t>
            </w:r>
            <w:r>
              <w:rPr>
                <w:rFonts w:ascii="Arial" w:eastAsia="Times New Roman" w:hAnsi="Arial" w:cs="Arial"/>
                <w:lang w:val="fr-FR"/>
              </w:rPr>
              <w:t>accords</w:t>
            </w:r>
            <w:r w:rsidRPr="00D978FA">
              <w:rPr>
                <w:rFonts w:ascii="Arial" w:eastAsia="Times New Roman" w:hAnsi="Arial" w:cs="Arial"/>
                <w:lang w:val="fr-FR"/>
              </w:rPr>
              <w:t>.</w:t>
            </w:r>
          </w:p>
          <w:p w14:paraId="62290D60" w14:textId="77777777"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5BF2FF87" w14:textId="32215AFB"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Op grond van de huidige paragraaf 2 kunnen de overeenkomsten bepalen dat de commissie waarin de overeenkomst is gesloten, bevoegd is om de geschillen bij te leggen die kunnen rijzen inzake de interpretatie of de uitvoering van de overeenkomsten en dat de commissie het advies van de bevoegde technische raad kan inwinnen wanneer het geschil betrekking heeft op de interpretatie van de nomenclatuur. Deze paragraaf wordt herschreven in de zin dat de commissies bevoegd zijn. Die bevoegdheid zal dus niet meer moeten worden bepaald in de </w:t>
            </w:r>
            <w:r>
              <w:rPr>
                <w:rFonts w:ascii="Arial" w:eastAsia="Times New Roman" w:hAnsi="Arial" w:cs="Arial"/>
                <w:lang w:val="nl-NL"/>
              </w:rPr>
              <w:t>akkoorden</w:t>
            </w:r>
            <w:r w:rsidRPr="00BC0DC7">
              <w:rPr>
                <w:rFonts w:ascii="Arial" w:eastAsia="Times New Roman" w:hAnsi="Arial" w:cs="Arial"/>
                <w:lang w:val="nl-NL"/>
              </w:rPr>
              <w:t>.</w:t>
            </w:r>
          </w:p>
        </w:tc>
      </w:tr>
      <w:tr w:rsidR="00477C89" w:rsidRPr="00A827F1" w14:paraId="33263499" w14:textId="77777777" w:rsidTr="005F50EE">
        <w:tc>
          <w:tcPr>
            <w:tcW w:w="5104" w:type="dxa"/>
          </w:tcPr>
          <w:p w14:paraId="650EE61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79D2878"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FF20842" w14:textId="77777777" w:rsidTr="005F50EE">
        <w:tc>
          <w:tcPr>
            <w:tcW w:w="5104" w:type="dxa"/>
          </w:tcPr>
          <w:p w14:paraId="3838ABD5" w14:textId="5C74A3BA"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Les règles relatives à la notification des conventions aux dispensateurs de soins par le Service des soins de santé de l’INAMI et les règles relatives à la notification par les dispensateurs de soins au Service des soins de santé de leur refus d’adhésion sont supprimées. Ces règles sont reprises dans un nouvel article qui s’appliquera également aux accords</w:t>
            </w:r>
            <w:r>
              <w:rPr>
                <w:rFonts w:ascii="Arial" w:eastAsia="Times New Roman" w:hAnsi="Arial" w:cs="Arial"/>
                <w:lang w:val="fr-FR"/>
              </w:rPr>
              <w:t xml:space="preserve"> avec les médecins et les dentistes</w:t>
            </w:r>
            <w:r w:rsidRPr="00D978FA">
              <w:rPr>
                <w:rFonts w:ascii="Arial" w:eastAsia="Times New Roman" w:hAnsi="Arial" w:cs="Arial"/>
                <w:lang w:val="fr-FR"/>
              </w:rPr>
              <w:t>.</w:t>
            </w:r>
          </w:p>
          <w:p w14:paraId="5BBCA37A" w14:textId="77777777"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6ED86D9D" w14:textId="493D1A3E"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lastRenderedPageBreak/>
              <w:t xml:space="preserve">De regels betreffende de kennisgeving van de overeenkomsten aan de zorgverleners door de Dienst voor geneeskundige verzorging van het Riziv en de regels betreffende de kennisgeving door de zorgverleners aan de Dienst voor geneeskundige verzorging van hun weigering tot toetreding worden geschrapt. Deze regels worden opgenomen in een nieuw artikel dat ook zal gelden </w:t>
            </w:r>
            <w:r w:rsidRPr="00BC0DC7">
              <w:rPr>
                <w:rFonts w:ascii="Arial" w:eastAsia="Times New Roman" w:hAnsi="Arial" w:cs="Arial"/>
                <w:lang w:val="nl-NL"/>
              </w:rPr>
              <w:lastRenderedPageBreak/>
              <w:t>voor de akkoorden</w:t>
            </w:r>
            <w:r w:rsidRPr="001949D7">
              <w:rPr>
                <w:lang w:val="nl-NL"/>
              </w:rPr>
              <w:t xml:space="preserve"> </w:t>
            </w:r>
            <w:r w:rsidRPr="001949D7">
              <w:rPr>
                <w:rFonts w:ascii="Arial" w:eastAsia="Times New Roman" w:hAnsi="Arial" w:cs="Arial"/>
                <w:lang w:val="nl-NL"/>
              </w:rPr>
              <w:t>met de artsen en de tandheelkundigen</w:t>
            </w:r>
            <w:r w:rsidRPr="00BC0DC7">
              <w:rPr>
                <w:rFonts w:ascii="Arial" w:eastAsia="Times New Roman" w:hAnsi="Arial" w:cs="Arial"/>
                <w:lang w:val="nl-NL"/>
              </w:rPr>
              <w:t>.</w:t>
            </w:r>
          </w:p>
        </w:tc>
      </w:tr>
      <w:tr w:rsidR="00477C89" w:rsidRPr="00A827F1" w14:paraId="5CF3E325" w14:textId="77777777" w:rsidTr="005F50EE">
        <w:tc>
          <w:tcPr>
            <w:tcW w:w="5104" w:type="dxa"/>
          </w:tcPr>
          <w:p w14:paraId="4326F39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85AC2E7"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3956CDA" w14:textId="77777777" w:rsidTr="005F50EE">
        <w:tc>
          <w:tcPr>
            <w:tcW w:w="5104" w:type="dxa"/>
          </w:tcPr>
          <w:p w14:paraId="7232A009" w14:textId="53FE47D7"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Les règles relatives à l’entrée en vigueur des conventions sont supprimées et reprises dans un nouvel article qui s’appliquera également pour les accords</w:t>
            </w:r>
            <w:r>
              <w:rPr>
                <w:rFonts w:ascii="Arial" w:eastAsia="Times New Roman" w:hAnsi="Arial" w:cs="Arial"/>
                <w:lang w:val="fr-FR"/>
              </w:rPr>
              <w:t xml:space="preserve"> avec les médecins et les dentistes</w:t>
            </w:r>
            <w:r w:rsidRPr="00D978FA">
              <w:rPr>
                <w:rFonts w:ascii="Arial" w:eastAsia="Times New Roman" w:hAnsi="Arial" w:cs="Arial"/>
                <w:lang w:val="fr-FR"/>
              </w:rPr>
              <w:t>.</w:t>
            </w:r>
          </w:p>
          <w:p w14:paraId="135DEA5F" w14:textId="77777777"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14F4EF85" w14:textId="122AD4DD"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De regels betreffende de inwerkingtreding van de overeenkomsten worden geschrapt en opgenomen in een nieuw artikel dat ook zal gelden voor de akkoorden</w:t>
            </w:r>
            <w:r w:rsidRPr="001949D7">
              <w:rPr>
                <w:lang w:val="nl-NL"/>
              </w:rPr>
              <w:t xml:space="preserve"> </w:t>
            </w:r>
            <w:r w:rsidRPr="001949D7">
              <w:rPr>
                <w:rFonts w:ascii="Arial" w:eastAsia="Times New Roman" w:hAnsi="Arial" w:cs="Arial"/>
                <w:lang w:val="nl-NL"/>
              </w:rPr>
              <w:t>met de artsen en de tandheelkundigen</w:t>
            </w:r>
            <w:r w:rsidRPr="00BC0DC7">
              <w:rPr>
                <w:rFonts w:ascii="Arial" w:eastAsia="Times New Roman" w:hAnsi="Arial" w:cs="Arial"/>
                <w:lang w:val="nl-NL"/>
              </w:rPr>
              <w:t>.</w:t>
            </w:r>
          </w:p>
        </w:tc>
      </w:tr>
      <w:tr w:rsidR="00477C89" w:rsidRPr="00A827F1" w14:paraId="16F2C429" w14:textId="77777777" w:rsidTr="005F50EE">
        <w:tc>
          <w:tcPr>
            <w:tcW w:w="5104" w:type="dxa"/>
          </w:tcPr>
          <w:p w14:paraId="22FED9A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5F08388"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4722CA" w14:paraId="4F0EA8C9" w14:textId="77777777" w:rsidTr="005F50EE">
        <w:tc>
          <w:tcPr>
            <w:tcW w:w="5104" w:type="dxa"/>
          </w:tcPr>
          <w:p w14:paraId="112C7013" w14:textId="77777777"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L’actuel paragraphe 3bis habilite les commissions de conventions, en cas d’abus, à résilier unilatéralement la convention pour une durée déterminée ou indéterminée à l’égard de dispensateurs de soins individuels. Cette disposition n’a jamais été appliquée et est supprimée.</w:t>
            </w:r>
          </w:p>
          <w:p w14:paraId="7A5C24DE" w14:textId="14AEBADA"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3BFF5FE5" w14:textId="231B19CF"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De huidige paragraaf 3bis machtigt de overeenkomstencommissies om in geval van misbruiken de overeenkomst eenzijdig voor bepaalde of onbepaalde duur op te zeggen ten aanzien van individuele zorgverleners. Deze bepaling werd nooit toegepast en wordt geschrapt.</w:t>
            </w:r>
          </w:p>
        </w:tc>
      </w:tr>
      <w:tr w:rsidR="00477C89" w:rsidRPr="004722CA" w14:paraId="6CEE3ADD" w14:textId="77777777" w:rsidTr="005F50EE">
        <w:tc>
          <w:tcPr>
            <w:tcW w:w="5104" w:type="dxa"/>
          </w:tcPr>
          <w:p w14:paraId="76C7C5C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8FA7F3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D9AFCCB" w14:textId="77777777" w:rsidTr="005F50EE">
        <w:tc>
          <w:tcPr>
            <w:tcW w:w="5104" w:type="dxa"/>
          </w:tcPr>
          <w:p w14:paraId="00581CAF" w14:textId="67B487B5"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Les dispositions du paragraphe 4 concernent la durée des conventions. Ces dispositions sont supprimées et reprises dans un nouvel article qui s’appliquera également pour les accords</w:t>
            </w:r>
            <w:r>
              <w:rPr>
                <w:rFonts w:ascii="Arial" w:eastAsia="Times New Roman" w:hAnsi="Arial" w:cs="Arial"/>
                <w:lang w:val="fr-FR"/>
              </w:rPr>
              <w:t xml:space="preserve"> avec les médecins et les dentistes</w:t>
            </w:r>
            <w:r w:rsidRPr="00D978FA">
              <w:rPr>
                <w:rFonts w:ascii="Arial" w:eastAsia="Times New Roman" w:hAnsi="Arial" w:cs="Arial"/>
                <w:lang w:val="fr-FR"/>
              </w:rPr>
              <w:t>.</w:t>
            </w:r>
          </w:p>
          <w:p w14:paraId="0A5515BE" w14:textId="77777777"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7D2FCB66" w14:textId="51218923"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De bepalingen van paragraaf 4 betreffen de duur van de overeenkomsten. Deze bepalingen worden geschrapt en opgenomen in een nieuw artikel dat ook zal gelden voor de akkoorden</w:t>
            </w:r>
            <w:r w:rsidRPr="001949D7">
              <w:rPr>
                <w:lang w:val="nl-NL"/>
              </w:rPr>
              <w:t xml:space="preserve"> </w:t>
            </w:r>
            <w:r w:rsidRPr="001949D7">
              <w:rPr>
                <w:rFonts w:ascii="Arial" w:eastAsia="Times New Roman" w:hAnsi="Arial" w:cs="Arial"/>
                <w:lang w:val="nl-NL"/>
              </w:rPr>
              <w:t>met de artsen en de tandheelkundigen</w:t>
            </w:r>
            <w:r w:rsidRPr="00BC0DC7">
              <w:rPr>
                <w:rFonts w:ascii="Arial" w:eastAsia="Times New Roman" w:hAnsi="Arial" w:cs="Arial"/>
                <w:lang w:val="nl-NL"/>
              </w:rPr>
              <w:t>.</w:t>
            </w:r>
          </w:p>
        </w:tc>
      </w:tr>
      <w:tr w:rsidR="00477C89" w:rsidRPr="00A827F1" w14:paraId="36E4D843" w14:textId="77777777" w:rsidTr="005F50EE">
        <w:tc>
          <w:tcPr>
            <w:tcW w:w="5104" w:type="dxa"/>
          </w:tcPr>
          <w:p w14:paraId="26EBE72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30F23F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8D09E68" w14:textId="77777777" w:rsidTr="005F50EE">
        <w:tc>
          <w:tcPr>
            <w:tcW w:w="5104" w:type="dxa"/>
          </w:tcPr>
          <w:p w14:paraId="04494807" w14:textId="6D4FC096"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Les dispositions du paragraphe 7 qui habilitent le Roi à réduire d’un maximum de 25 p.c. les taux de remboursement pour les prestations dispensées par les sage-femmes, kinésithérapeutes, praticiens de l’art infirmier et auxiliaires paramédicaux qui n’ont pas adhéré aux conventions</w:t>
            </w:r>
            <w:r>
              <w:rPr>
                <w:rFonts w:ascii="Arial" w:eastAsia="Times New Roman" w:hAnsi="Arial" w:cs="Arial"/>
                <w:lang w:val="fr-FR"/>
              </w:rPr>
              <w:t xml:space="preserve"> </w:t>
            </w:r>
            <w:r w:rsidRPr="00936805">
              <w:rPr>
                <w:rFonts w:ascii="Arial" w:eastAsia="Times New Roman" w:hAnsi="Arial" w:cs="Arial"/>
                <w:lang w:val="fr-FR"/>
              </w:rPr>
              <w:t>ne sont plus reprises. Les articles 85 à 87 de la loi du 22 avril 2019 relative à la qualité de la pratique des soins de santé prévoient déjà l’abrogation de ces dispositions à partir d’une date à fixer par le Roi</w:t>
            </w:r>
            <w:r w:rsidRPr="00D978FA">
              <w:rPr>
                <w:rFonts w:ascii="Arial" w:eastAsia="Times New Roman" w:hAnsi="Arial" w:cs="Arial"/>
                <w:lang w:val="fr-FR"/>
              </w:rPr>
              <w:t>.</w:t>
            </w:r>
          </w:p>
        </w:tc>
        <w:tc>
          <w:tcPr>
            <w:tcW w:w="5104" w:type="dxa"/>
          </w:tcPr>
          <w:p w14:paraId="0A5CE52D" w14:textId="44AC286C"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De bepalingen van paragraaf 7 die de Koning machtigen om de vergoedingsbedragen met maximum 25 pct. te verminderen voor de verstrekkingen verleend door de vroedvrouwen, kinesitherapeuten, verpleegkundigen en paramedische medewerkers die niet tot de overeenkomsten zijn toegetreden worden niet meer hernomen.</w:t>
            </w:r>
            <w:r w:rsidRPr="00936805">
              <w:rPr>
                <w:lang w:val="nl-NL"/>
              </w:rPr>
              <w:t xml:space="preserve"> </w:t>
            </w:r>
            <w:r w:rsidRPr="00936805">
              <w:rPr>
                <w:rFonts w:ascii="Arial" w:eastAsia="Times New Roman" w:hAnsi="Arial" w:cs="Arial"/>
                <w:lang w:val="nl-NL"/>
              </w:rPr>
              <w:t>De artikelen 85 en 87 van de wet van 22 april 2019 inzake de kwaliteitsvolle praktijkvoering in de gezondheidszorg voorzien al in de opheffing van deze bepalingen vanaf een door de Koning te bepalen datum.</w:t>
            </w:r>
          </w:p>
        </w:tc>
      </w:tr>
      <w:tr w:rsidR="00477C89" w:rsidRPr="00A827F1" w14:paraId="4DD75C7C" w14:textId="77777777" w:rsidTr="005F50EE">
        <w:tc>
          <w:tcPr>
            <w:tcW w:w="5104" w:type="dxa"/>
          </w:tcPr>
          <w:p w14:paraId="140108F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6C1A4AE"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758DFCC2" w14:textId="77777777" w:rsidTr="005F50EE">
        <w:tc>
          <w:tcPr>
            <w:tcW w:w="5104" w:type="dxa"/>
          </w:tcPr>
          <w:p w14:paraId="56AE4729" w14:textId="09D35428"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+21</w:t>
            </w:r>
          </w:p>
        </w:tc>
        <w:tc>
          <w:tcPr>
            <w:tcW w:w="5104" w:type="dxa"/>
          </w:tcPr>
          <w:p w14:paraId="76ECCD54" w14:textId="20A1CBFA"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+21</w:t>
            </w:r>
          </w:p>
        </w:tc>
      </w:tr>
      <w:tr w:rsidR="00477C89" w:rsidRPr="004722CA" w14:paraId="687305E7" w14:textId="77777777" w:rsidTr="005F50EE">
        <w:tc>
          <w:tcPr>
            <w:tcW w:w="5104" w:type="dxa"/>
          </w:tcPr>
          <w:p w14:paraId="5A03E08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1C89E6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2A7DEDC" w14:textId="77777777" w:rsidTr="005F50EE">
        <w:tc>
          <w:tcPr>
            <w:tcW w:w="5104" w:type="dxa"/>
          </w:tcPr>
          <w:p w14:paraId="0737CFD4" w14:textId="0D9D215D"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L’article 50 de la loi coordonnée traite des relations avec les médecins et les dentistes.</w:t>
            </w:r>
          </w:p>
        </w:tc>
        <w:tc>
          <w:tcPr>
            <w:tcW w:w="5104" w:type="dxa"/>
          </w:tcPr>
          <w:p w14:paraId="032CA44D" w14:textId="64656F0A"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Artikel 50 van de gecoördineerde wet handelt over de betrekkingen met de artsen en de tandartsen. </w:t>
            </w:r>
          </w:p>
        </w:tc>
      </w:tr>
      <w:tr w:rsidR="00477C89" w:rsidRPr="00A827F1" w14:paraId="409A6F46" w14:textId="77777777" w:rsidTr="005F50EE">
        <w:tc>
          <w:tcPr>
            <w:tcW w:w="5104" w:type="dxa"/>
          </w:tcPr>
          <w:p w14:paraId="2EC3E54D"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C407A2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BD37D18" w14:textId="77777777" w:rsidTr="005F50EE">
        <w:tc>
          <w:tcPr>
            <w:tcW w:w="5104" w:type="dxa"/>
          </w:tcPr>
          <w:p w14:paraId="59A1EFAD" w14:textId="49C252DD" w:rsidR="00477C89" w:rsidRPr="00936805" w:rsidRDefault="00477C89" w:rsidP="00477C89">
            <w:pPr>
              <w:spacing w:after="0" w:line="240" w:lineRule="auto"/>
              <w:jc w:val="both"/>
              <w:outlineLvl w:val="0"/>
              <w:rPr>
                <w:rFonts w:ascii="Arial" w:eastAsia="Times New Roman" w:hAnsi="Arial" w:cs="Arial"/>
                <w:lang w:val="fr-FR"/>
              </w:rPr>
            </w:pPr>
            <w:r w:rsidRPr="00936805">
              <w:rPr>
                <w:rFonts w:ascii="Arial" w:eastAsia="Times New Roman" w:hAnsi="Arial" w:cs="Arial"/>
                <w:lang w:val="fr-FR"/>
              </w:rPr>
              <w:t>Les dispositions du paragraphe 1er sont superflues étant donné que le champ d’application de l’article 42 de la loi coordonnée est élargi aux accords avec les médecins et les praticiens de l’art dentaire.</w:t>
            </w:r>
          </w:p>
        </w:tc>
        <w:tc>
          <w:tcPr>
            <w:tcW w:w="5104" w:type="dxa"/>
          </w:tcPr>
          <w:p w14:paraId="3474B1BD" w14:textId="71EDB219"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De bepalingen van de eerste paragraaf zijn overbodig gezien het toepassingsgebied van artikel 42 van de gecoördineerde wet wordt uitgebreid tot de akkoorden met de artsen en de tandheelkundigen.</w:t>
            </w:r>
          </w:p>
        </w:tc>
      </w:tr>
      <w:tr w:rsidR="00477C89" w:rsidRPr="00A827F1" w14:paraId="3DCCF607" w14:textId="77777777" w:rsidTr="005F50EE">
        <w:tc>
          <w:tcPr>
            <w:tcW w:w="5104" w:type="dxa"/>
          </w:tcPr>
          <w:p w14:paraId="2BB2B9B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28B872A"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605C629" w14:textId="77777777" w:rsidTr="005F50EE">
        <w:tc>
          <w:tcPr>
            <w:tcW w:w="5104" w:type="dxa"/>
          </w:tcPr>
          <w:p w14:paraId="51FB8751" w14:textId="5AC3E86E"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Le paragraphe 2 concernant la composition et les règles de fonctionnement des commissions </w:t>
            </w:r>
            <w:r w:rsidRPr="00D978FA">
              <w:rPr>
                <w:rFonts w:ascii="Arial" w:eastAsia="Times New Roman" w:hAnsi="Arial" w:cs="Arial"/>
                <w:lang w:val="fr-FR"/>
              </w:rPr>
              <w:lastRenderedPageBreak/>
              <w:t xml:space="preserve">d’accords </w:t>
            </w:r>
            <w:r>
              <w:rPr>
                <w:rFonts w:ascii="Arial" w:eastAsia="Times New Roman" w:hAnsi="Arial" w:cs="Arial"/>
                <w:lang w:val="fr-FR"/>
              </w:rPr>
              <w:t xml:space="preserve">avec les médecins et les dentistes </w:t>
            </w:r>
            <w:r w:rsidRPr="00D978FA">
              <w:rPr>
                <w:rFonts w:ascii="Arial" w:eastAsia="Times New Roman" w:hAnsi="Arial" w:cs="Arial"/>
                <w:lang w:val="fr-FR"/>
              </w:rPr>
              <w:t xml:space="preserve">est supprimé et repris dans l’article 26 de la loi coordonnée. </w:t>
            </w:r>
          </w:p>
        </w:tc>
        <w:tc>
          <w:tcPr>
            <w:tcW w:w="5104" w:type="dxa"/>
          </w:tcPr>
          <w:p w14:paraId="39831D3F" w14:textId="1B9528B4"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lastRenderedPageBreak/>
              <w:t>De paragraaf 2 betreffende de samenstelling en de werkingsregels van de akkoordencommissies</w:t>
            </w:r>
            <w:r>
              <w:rPr>
                <w:rFonts w:ascii="Arial" w:eastAsia="Times New Roman" w:hAnsi="Arial" w:cs="Arial"/>
                <w:lang w:val="nl-NL"/>
              </w:rPr>
              <w:t xml:space="preserve"> met </w:t>
            </w:r>
            <w:r>
              <w:rPr>
                <w:rFonts w:ascii="Arial" w:eastAsia="Times New Roman" w:hAnsi="Arial" w:cs="Arial"/>
                <w:lang w:val="nl-NL"/>
              </w:rPr>
              <w:lastRenderedPageBreak/>
              <w:t>de artsen en de tandheelkundigen</w:t>
            </w:r>
            <w:r w:rsidRPr="00BC0DC7">
              <w:rPr>
                <w:rFonts w:ascii="Arial" w:eastAsia="Times New Roman" w:hAnsi="Arial" w:cs="Arial"/>
                <w:lang w:val="nl-NL"/>
              </w:rPr>
              <w:t xml:space="preserve"> wordt geschrapt en verplaatst naar het artikel 26 van de gecoördineerde wet.</w:t>
            </w:r>
          </w:p>
        </w:tc>
      </w:tr>
      <w:tr w:rsidR="00477C89" w:rsidRPr="00A827F1" w14:paraId="170FD968" w14:textId="77777777" w:rsidTr="005F50EE">
        <w:tc>
          <w:tcPr>
            <w:tcW w:w="5104" w:type="dxa"/>
          </w:tcPr>
          <w:p w14:paraId="56900FA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FB53DC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C81F0F4" w14:textId="77777777" w:rsidTr="005F50EE">
        <w:tc>
          <w:tcPr>
            <w:tcW w:w="5104" w:type="dxa"/>
          </w:tcPr>
          <w:p w14:paraId="58C376CE" w14:textId="1B979DE4"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Les règles relatives à la notification des accords aux dispensateurs de soins par le Service des soins de santé de l’INAMI et les règles relatives à la notification par les dispensateurs de soins au Service des soins de santé de leur refus d’adhésion sont supprimées. Ces règles sont reprises dans un nouvel article qui s’appliquera également aux </w:t>
            </w:r>
            <w:r>
              <w:rPr>
                <w:rFonts w:ascii="Arial" w:eastAsia="Times New Roman" w:hAnsi="Arial" w:cs="Arial"/>
                <w:lang w:val="fr-FR"/>
              </w:rPr>
              <w:t>accords avec les autres secteurs</w:t>
            </w:r>
            <w:r w:rsidRPr="00D978FA">
              <w:rPr>
                <w:rFonts w:ascii="Arial" w:eastAsia="Times New Roman" w:hAnsi="Arial" w:cs="Arial"/>
                <w:lang w:val="fr-FR"/>
              </w:rPr>
              <w:t>.</w:t>
            </w:r>
          </w:p>
          <w:p w14:paraId="43D8F128" w14:textId="77777777"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74A86D9C" w14:textId="2290E176"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De regels betreffende de kennisgeving van de akkoorden aan de zorgverleners door de Dienst voor geneeskundige verzorging van het Riziv en de regels betreffende de kennisgeving door de zorgverleners aan de Dienst voor geneeskundige verzorging van hun weigering tot toetreding worden geschrapt. Deze regels worden opgenomen in een nieuw artikel dat ook zal gelden voor de </w:t>
            </w:r>
            <w:r>
              <w:rPr>
                <w:rFonts w:ascii="Arial" w:eastAsia="Times New Roman" w:hAnsi="Arial" w:cs="Arial"/>
                <w:lang w:val="nl-NL"/>
              </w:rPr>
              <w:t>akkoorden met de andere sectoren</w:t>
            </w:r>
            <w:r w:rsidRPr="00BC0DC7">
              <w:rPr>
                <w:rFonts w:ascii="Arial" w:eastAsia="Times New Roman" w:hAnsi="Arial" w:cs="Arial"/>
                <w:lang w:val="nl-NL"/>
              </w:rPr>
              <w:t>.</w:t>
            </w:r>
          </w:p>
        </w:tc>
      </w:tr>
      <w:tr w:rsidR="00477C89" w:rsidRPr="00A827F1" w14:paraId="3B17B4B8" w14:textId="77777777" w:rsidTr="005F50EE">
        <w:tc>
          <w:tcPr>
            <w:tcW w:w="5104" w:type="dxa"/>
          </w:tcPr>
          <w:p w14:paraId="2005C77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8C0E4D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0E5F41D" w14:textId="77777777" w:rsidTr="005F50EE">
        <w:tc>
          <w:tcPr>
            <w:tcW w:w="5104" w:type="dxa"/>
          </w:tcPr>
          <w:p w14:paraId="5D05EB69" w14:textId="62FC7C56" w:rsidR="00477C89" w:rsidRPr="00D978FA" w:rsidRDefault="00477C89" w:rsidP="00477C89">
            <w:pPr>
              <w:spacing w:after="0" w:line="240" w:lineRule="auto"/>
              <w:jc w:val="both"/>
              <w:outlineLvl w:val="0"/>
              <w:rPr>
                <w:rFonts w:ascii="Arial" w:eastAsia="Times New Roman" w:hAnsi="Arial" w:cs="Arial"/>
                <w:lang w:val="fr-FR"/>
              </w:rPr>
            </w:pPr>
            <w:r w:rsidRPr="00936805">
              <w:rPr>
                <w:rFonts w:ascii="Arial" w:eastAsia="Times New Roman" w:hAnsi="Arial" w:cs="Arial"/>
                <w:lang w:val="fr-FR"/>
              </w:rPr>
              <w:t xml:space="preserve">Les dispositions relatives au contenu des accords avec les médecins et les praticiens de l’art dentaire sont intégrées dans l’article 44 de la loi coordonnée, qui sera d’application à tous les secteurs. </w:t>
            </w:r>
            <w:r w:rsidRPr="00D978FA">
              <w:rPr>
                <w:rFonts w:ascii="Arial" w:eastAsia="Times New Roman" w:hAnsi="Arial" w:cs="Arial"/>
                <w:lang w:val="fr-FR"/>
              </w:rPr>
              <w:t xml:space="preserve">La possibilité pour les médecins et les dentistes d’adhérer partiellement aux accords est </w:t>
            </w:r>
            <w:r w:rsidR="004C1F59">
              <w:rPr>
                <w:rFonts w:ascii="Arial" w:eastAsia="Times New Roman" w:hAnsi="Arial" w:cs="Arial"/>
                <w:lang w:val="fr-FR"/>
              </w:rPr>
              <w:t>préservée</w:t>
            </w:r>
            <w:r w:rsidRPr="00D978FA">
              <w:rPr>
                <w:rFonts w:ascii="Arial" w:eastAsia="Times New Roman" w:hAnsi="Arial" w:cs="Arial"/>
                <w:lang w:val="fr-FR"/>
              </w:rPr>
              <w:t>.</w:t>
            </w:r>
          </w:p>
          <w:p w14:paraId="177CBB8E" w14:textId="77777777"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2733FFB8" w14:textId="6BD61E8E"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 xml:space="preserve">De bepalingen betreffende de inhoud van de akkoorden met de artsen en de tandheelkundigen worden geïntegreerd in artikel 44 van de gecoördineerde wet, dat van toepassing zal zijn voor alle sectoren. De mogelijkheid voor de artsen en de tandartsen om partieel toe te treden tot de akkoorden </w:t>
            </w:r>
            <w:r w:rsidR="004C1F59">
              <w:rPr>
                <w:rFonts w:ascii="Arial" w:eastAsia="Times New Roman" w:hAnsi="Arial" w:cs="Arial"/>
                <w:lang w:val="nl-NL"/>
              </w:rPr>
              <w:t>blijft</w:t>
            </w:r>
            <w:r w:rsidR="004C1F59" w:rsidRPr="00936805">
              <w:rPr>
                <w:rFonts w:ascii="Arial" w:eastAsia="Times New Roman" w:hAnsi="Arial" w:cs="Arial"/>
                <w:lang w:val="nl-NL"/>
              </w:rPr>
              <w:t xml:space="preserve"> </w:t>
            </w:r>
            <w:r w:rsidRPr="00936805">
              <w:rPr>
                <w:rFonts w:ascii="Arial" w:eastAsia="Times New Roman" w:hAnsi="Arial" w:cs="Arial"/>
                <w:lang w:val="nl-NL"/>
              </w:rPr>
              <w:t xml:space="preserve">daarbij </w:t>
            </w:r>
            <w:r w:rsidR="004C1F59">
              <w:rPr>
                <w:rFonts w:ascii="Arial" w:eastAsia="Times New Roman" w:hAnsi="Arial" w:cs="Arial"/>
                <w:lang w:val="nl-NL"/>
              </w:rPr>
              <w:t>behouden</w:t>
            </w:r>
            <w:r w:rsidRPr="00936805">
              <w:rPr>
                <w:rFonts w:ascii="Arial" w:eastAsia="Times New Roman" w:hAnsi="Arial" w:cs="Arial"/>
                <w:lang w:val="nl-NL"/>
              </w:rPr>
              <w:t>.</w:t>
            </w:r>
          </w:p>
        </w:tc>
      </w:tr>
      <w:tr w:rsidR="00477C89" w:rsidRPr="00A827F1" w14:paraId="50046776" w14:textId="77777777" w:rsidTr="005F50EE">
        <w:tc>
          <w:tcPr>
            <w:tcW w:w="5104" w:type="dxa"/>
          </w:tcPr>
          <w:p w14:paraId="50DC3FE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C8D9E7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AE0CF24" w14:textId="77777777" w:rsidTr="005F50EE">
        <w:tc>
          <w:tcPr>
            <w:tcW w:w="5104" w:type="dxa"/>
          </w:tcPr>
          <w:p w14:paraId="5A461137" w14:textId="2B263719"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Conformément à la modification faite pour les </w:t>
            </w:r>
            <w:r>
              <w:rPr>
                <w:rFonts w:ascii="Arial" w:eastAsia="Times New Roman" w:hAnsi="Arial" w:cs="Arial"/>
                <w:lang w:val="fr-FR"/>
              </w:rPr>
              <w:t>autres secteurs</w:t>
            </w:r>
            <w:r w:rsidRPr="00D978FA">
              <w:rPr>
                <w:rFonts w:ascii="Arial" w:eastAsia="Times New Roman" w:hAnsi="Arial" w:cs="Arial"/>
                <w:lang w:val="fr-FR"/>
              </w:rPr>
              <w:t xml:space="preserve">, la possibilité de fixer des conditions dans les accords </w:t>
            </w:r>
            <w:r>
              <w:rPr>
                <w:rFonts w:ascii="Arial" w:eastAsia="Times New Roman" w:hAnsi="Arial" w:cs="Arial"/>
                <w:lang w:val="fr-FR"/>
              </w:rPr>
              <w:t xml:space="preserve">avec les médecins et les dentistes </w:t>
            </w:r>
            <w:r w:rsidRPr="00D978FA">
              <w:rPr>
                <w:rFonts w:ascii="Arial" w:eastAsia="Times New Roman" w:hAnsi="Arial" w:cs="Arial"/>
                <w:lang w:val="fr-FR"/>
              </w:rPr>
              <w:t>concernant la situation économique des bénéficiaires dans laquelle les honoraires peuvent être dépassés est également supprimée.</w:t>
            </w:r>
          </w:p>
          <w:p w14:paraId="5401F0DC" w14:textId="77777777"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6981FD57" w14:textId="741C7BA4"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Overeenkomstig de wijziging voor de </w:t>
            </w:r>
            <w:r>
              <w:rPr>
                <w:rFonts w:ascii="Arial" w:eastAsia="Times New Roman" w:hAnsi="Arial" w:cs="Arial"/>
                <w:lang w:val="nl-NL"/>
              </w:rPr>
              <w:t>andere sectoren</w:t>
            </w:r>
            <w:r w:rsidRPr="00BC0DC7">
              <w:rPr>
                <w:rFonts w:ascii="Arial" w:eastAsia="Times New Roman" w:hAnsi="Arial" w:cs="Arial"/>
                <w:lang w:val="nl-NL"/>
              </w:rPr>
              <w:t xml:space="preserve"> wordt </w:t>
            </w:r>
            <w:r>
              <w:rPr>
                <w:rFonts w:ascii="Arial" w:eastAsia="Times New Roman" w:hAnsi="Arial" w:cs="Arial"/>
                <w:lang w:val="nl-NL"/>
              </w:rPr>
              <w:t xml:space="preserve">daarbij </w:t>
            </w:r>
            <w:r w:rsidRPr="00BC0DC7">
              <w:rPr>
                <w:rFonts w:ascii="Arial" w:eastAsia="Times New Roman" w:hAnsi="Arial" w:cs="Arial"/>
                <w:lang w:val="nl-NL"/>
              </w:rPr>
              <w:t xml:space="preserve">ook de mogelijkheid geschrapt om in de akkoorden </w:t>
            </w:r>
            <w:r>
              <w:rPr>
                <w:rFonts w:ascii="Arial" w:eastAsia="Times New Roman" w:hAnsi="Arial" w:cs="Arial"/>
                <w:lang w:val="nl-NL"/>
              </w:rPr>
              <w:t xml:space="preserve">met de artsen en de tandheelkundigen </w:t>
            </w:r>
            <w:r w:rsidRPr="00BC0DC7">
              <w:rPr>
                <w:rFonts w:ascii="Arial" w:eastAsia="Times New Roman" w:hAnsi="Arial" w:cs="Arial"/>
                <w:lang w:val="nl-NL"/>
              </w:rPr>
              <w:t>de voorwaarden vast te stellen inzake economische toestand van de rechthebbenden waarin de honoraria mogen worden overschreden.</w:t>
            </w:r>
          </w:p>
        </w:tc>
      </w:tr>
      <w:tr w:rsidR="00477C89" w:rsidRPr="00A827F1" w14:paraId="6CFB9120" w14:textId="77777777" w:rsidTr="005F50EE">
        <w:tc>
          <w:tcPr>
            <w:tcW w:w="5104" w:type="dxa"/>
          </w:tcPr>
          <w:p w14:paraId="5D777E6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C3A2072"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61830D9" w14:textId="77777777" w:rsidTr="005F50EE">
        <w:tc>
          <w:tcPr>
            <w:tcW w:w="5104" w:type="dxa"/>
          </w:tcPr>
          <w:p w14:paraId="3597B91F" w14:textId="0BC4A208"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En vertu de l’actuel article 7, les accords peuvent prévoir que la commission au sein de laquelle a été conclu l'accord est compétente pour concilier les contestations qui peuvent surgir à propos de l'interprétation ou de l'exécution des accords et que la commission peut prendre l'avis du conseil technique compétent lorsque la contestation porte sur l'interprétation de la nomenclature. </w:t>
            </w:r>
            <w:r w:rsidRPr="00936805">
              <w:rPr>
                <w:rFonts w:ascii="Arial" w:eastAsia="Times New Roman" w:hAnsi="Arial" w:cs="Arial"/>
                <w:lang w:val="fr-FR"/>
              </w:rPr>
              <w:t>A l’avenir, les accords avec les médecins et les praticiens de l’art dentaire seront également régis par le nouvel article 49, en vertu duquel les commissions sont compétentes.</w:t>
            </w:r>
            <w:r>
              <w:rPr>
                <w:rFonts w:ascii="Arial" w:eastAsia="Times New Roman" w:hAnsi="Arial" w:cs="Arial"/>
                <w:lang w:val="fr-FR"/>
              </w:rPr>
              <w:t xml:space="preserve"> </w:t>
            </w:r>
            <w:r w:rsidRPr="00D978FA">
              <w:rPr>
                <w:rFonts w:ascii="Arial" w:eastAsia="Times New Roman" w:hAnsi="Arial" w:cs="Arial"/>
                <w:lang w:val="fr-FR"/>
              </w:rPr>
              <w:t>Cette compétence ne devra donc plus être déterminée dans les accords.</w:t>
            </w:r>
          </w:p>
        </w:tc>
        <w:tc>
          <w:tcPr>
            <w:tcW w:w="5104" w:type="dxa"/>
          </w:tcPr>
          <w:p w14:paraId="18A5A784" w14:textId="016FE8C0"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t>Op grond van de huidige paragraaf 7 kunnen de akkoorden bepalen dat de commissie waarin het akkoord is gesloten, bevoegd is om de geschillen bij te leggen die kunnen rijzen inzake de interpretatie of de uitvoering van de akkoorden en dat de commissie het advies van de bevoegde technische raad kan inwinnen wanneer het geschil betrekking heeft op de interpretatie van de nomenclatuur. In de toekomst zal ook voor de akkoorden met de artsen en de tandheelkundigen het nieuwe artikel 49 gelden, luidens hetwelk  de commissies bevoegd zijn. Die bevoegdheid zal dus niet meer moeten worden bepaald in de akkoorden.</w:t>
            </w:r>
          </w:p>
        </w:tc>
      </w:tr>
      <w:tr w:rsidR="00477C89" w:rsidRPr="00A827F1" w14:paraId="49B818CD" w14:textId="77777777" w:rsidTr="005F50EE">
        <w:tc>
          <w:tcPr>
            <w:tcW w:w="5104" w:type="dxa"/>
          </w:tcPr>
          <w:p w14:paraId="121C6B13"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7447E8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BDB5E5A" w14:textId="77777777" w:rsidTr="005F50EE">
        <w:tc>
          <w:tcPr>
            <w:tcW w:w="5104" w:type="dxa"/>
          </w:tcPr>
          <w:p w14:paraId="369C5D0B" w14:textId="3D40BD41"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Les dispositions du paragraphe 8 concernent la durée des accords. Ces dispositions sont supprimées et reprises dans un nouvel article qui s’appliquera également aux </w:t>
            </w:r>
            <w:r>
              <w:rPr>
                <w:rFonts w:ascii="Arial" w:eastAsia="Times New Roman" w:hAnsi="Arial" w:cs="Arial"/>
                <w:lang w:val="fr-FR"/>
              </w:rPr>
              <w:t>accords avec les autres secteurs</w:t>
            </w:r>
            <w:r w:rsidRPr="00D978FA">
              <w:rPr>
                <w:rFonts w:ascii="Arial" w:eastAsia="Times New Roman" w:hAnsi="Arial" w:cs="Arial"/>
                <w:lang w:val="fr-FR"/>
              </w:rPr>
              <w:t>.</w:t>
            </w:r>
          </w:p>
        </w:tc>
        <w:tc>
          <w:tcPr>
            <w:tcW w:w="5104" w:type="dxa"/>
          </w:tcPr>
          <w:p w14:paraId="27AA5068" w14:textId="77A94698"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De bepalingen van paragraaf 8 betreffen de duur van de akkoorden. Deze bepalingen worden geschrapt en opgenomen in een nieuw artikel dat ook zal gelden voor de </w:t>
            </w:r>
            <w:r>
              <w:rPr>
                <w:rFonts w:ascii="Arial" w:eastAsia="Times New Roman" w:hAnsi="Arial" w:cs="Arial"/>
                <w:lang w:val="nl-NL"/>
              </w:rPr>
              <w:t>akkoorden met de andere sectoren</w:t>
            </w:r>
            <w:r w:rsidRPr="00BC0DC7">
              <w:rPr>
                <w:rFonts w:ascii="Arial" w:eastAsia="Times New Roman" w:hAnsi="Arial" w:cs="Arial"/>
                <w:lang w:val="nl-NL"/>
              </w:rPr>
              <w:t>.</w:t>
            </w:r>
          </w:p>
        </w:tc>
      </w:tr>
      <w:tr w:rsidR="00477C89" w:rsidRPr="00A827F1" w14:paraId="38DCD7AE" w14:textId="77777777" w:rsidTr="005F50EE">
        <w:tc>
          <w:tcPr>
            <w:tcW w:w="5104" w:type="dxa"/>
          </w:tcPr>
          <w:p w14:paraId="39BF81DB"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2E57C4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7D59061" w14:textId="77777777" w:rsidTr="005F50EE">
        <w:tc>
          <w:tcPr>
            <w:tcW w:w="5104" w:type="dxa"/>
          </w:tcPr>
          <w:p w14:paraId="2514C907" w14:textId="295E9666" w:rsidR="00477C89" w:rsidRPr="00671DC6" w:rsidRDefault="00477C89" w:rsidP="00477C89">
            <w:pPr>
              <w:spacing w:after="0" w:line="240" w:lineRule="auto"/>
              <w:jc w:val="both"/>
              <w:outlineLvl w:val="0"/>
              <w:rPr>
                <w:rFonts w:ascii="Arial" w:eastAsia="Times New Roman" w:hAnsi="Arial" w:cs="Arial"/>
                <w:lang w:val="fr-FR"/>
              </w:rPr>
            </w:pPr>
            <w:r w:rsidRPr="00671DC6">
              <w:rPr>
                <w:rFonts w:ascii="Arial" w:eastAsia="Times New Roman" w:hAnsi="Arial" w:cs="Arial"/>
                <w:lang w:val="fr-FR"/>
              </w:rPr>
              <w:lastRenderedPageBreak/>
              <w:t>Les dispositions actuelles de l’article 51, §§ 2 à 4 et §§ 6 à 8 de la loi coordonnée sont reprises dans l’article 50</w:t>
            </w:r>
            <w:r w:rsidR="00797C61" w:rsidRPr="00671DC6">
              <w:rPr>
                <w:rFonts w:ascii="Arial" w:eastAsia="Times New Roman" w:hAnsi="Arial" w:cs="Arial"/>
                <w:lang w:val="fr-FR"/>
              </w:rPr>
              <w:t xml:space="preserve">, sous réserve de la référence à la compétence du Roi de déterminer ce qu’il faut entendre par dépassement significatif d’un objectif budgétaire partiel, ou le risque qu’il y ait d’un tel dépassement. La modification ainsi apportée à cette disposition, afin que celle-ci soit en concordance avec la réalité selon laquelle, in fine, c’est le Conseil général qui détermine </w:t>
            </w:r>
            <w:r w:rsidR="00EF1874" w:rsidRPr="00671DC6">
              <w:rPr>
                <w:rFonts w:ascii="Arial" w:eastAsia="Times New Roman" w:hAnsi="Arial" w:cs="Arial"/>
                <w:lang w:val="fr-FR"/>
              </w:rPr>
              <w:t>les conséquences éventuelles d’</w:t>
            </w:r>
            <w:r w:rsidR="00797C61" w:rsidRPr="00671DC6">
              <w:rPr>
                <w:rFonts w:ascii="Arial" w:eastAsia="Times New Roman" w:hAnsi="Arial" w:cs="Arial"/>
                <w:lang w:val="fr-FR"/>
              </w:rPr>
              <w:t xml:space="preserve">un </w:t>
            </w:r>
            <w:r w:rsidR="00EF1874" w:rsidRPr="00671DC6">
              <w:rPr>
                <w:rFonts w:ascii="Arial" w:eastAsia="Times New Roman" w:hAnsi="Arial" w:cs="Arial"/>
                <w:lang w:val="fr-FR"/>
              </w:rPr>
              <w:t xml:space="preserve">tel </w:t>
            </w:r>
            <w:r w:rsidR="00797C61" w:rsidRPr="00671DC6">
              <w:rPr>
                <w:rFonts w:ascii="Arial" w:eastAsia="Times New Roman" w:hAnsi="Arial" w:cs="Arial"/>
                <w:lang w:val="fr-FR"/>
              </w:rPr>
              <w:t xml:space="preserve">dépassement (ou risque </w:t>
            </w:r>
            <w:r w:rsidR="00EF1874" w:rsidRPr="00671DC6">
              <w:rPr>
                <w:rFonts w:ascii="Arial" w:eastAsia="Times New Roman" w:hAnsi="Arial" w:cs="Arial"/>
                <w:lang w:val="fr-FR"/>
              </w:rPr>
              <w:t>de</w:t>
            </w:r>
            <w:r w:rsidR="00797C61" w:rsidRPr="00671DC6">
              <w:rPr>
                <w:rFonts w:ascii="Arial" w:eastAsia="Times New Roman" w:hAnsi="Arial" w:cs="Arial"/>
                <w:lang w:val="fr-FR"/>
              </w:rPr>
              <w:t xml:space="preserve"> dépassement), a pour conséquence que l’arrêté royal du 5 octobre 1999 portant exécution de l'article 51, § 4, de la loi relative à l'assurance obligatoire soins de santé et indemnités, coordonnée le 14 juillet 1994, déterminant ce qu'il y a lieu d'entendre par dépassement significatif ou risque de dépassement significatif de l'objectif budgétaire partiel n’a plus de fondement juridique et n’a plus d’effet juridique. C’est le Conseil général qui, dans le cadre de ses compétences budgétaires et de la décision finale relative aux mécanismes de corrections et autres mesures, prend les décisions en la matière</w:t>
            </w:r>
            <w:r w:rsidRPr="00671DC6">
              <w:rPr>
                <w:rFonts w:ascii="Arial" w:eastAsia="Times New Roman" w:hAnsi="Arial" w:cs="Arial"/>
                <w:lang w:val="fr-FR"/>
              </w:rPr>
              <w:t xml:space="preserve">. </w:t>
            </w:r>
          </w:p>
        </w:tc>
        <w:tc>
          <w:tcPr>
            <w:tcW w:w="5104" w:type="dxa"/>
          </w:tcPr>
          <w:p w14:paraId="2970CF83" w14:textId="2CBC9CB3" w:rsidR="00477C89" w:rsidRPr="00671DC6" w:rsidRDefault="00477C89" w:rsidP="00477C89">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t>De huidige bepalingen van artikel 51, §§ 2 tot 4 en §§ 6 tot 8 van de gecoördineerde wet worden opgenomen in artikel 50</w:t>
            </w:r>
            <w:r w:rsidR="00544355" w:rsidRPr="00671DC6">
              <w:rPr>
                <w:rFonts w:ascii="Arial" w:eastAsia="Times New Roman" w:hAnsi="Arial" w:cs="Arial"/>
                <w:lang w:val="nl-NL"/>
              </w:rPr>
              <w:t xml:space="preserve">, behoudens de verwijzing naar de bevoegdheid van de Koning om te bepalen wat onder een beduidende overschrijding van een partiële begrotingsdoelstelling, of het risico daarop, dient begrepen te worden. Het aldus wijzigen van die bepaling om dit in overeenstemming te brengen met de realiteit waarbij het in fine de Algemene Raad is die </w:t>
            </w:r>
            <w:r w:rsidR="00EF1874" w:rsidRPr="00671DC6">
              <w:rPr>
                <w:rFonts w:ascii="Arial" w:eastAsia="Times New Roman" w:hAnsi="Arial" w:cs="Arial"/>
                <w:lang w:val="nl-NL"/>
              </w:rPr>
              <w:t xml:space="preserve">de eventuele gevolgen </w:t>
            </w:r>
            <w:r w:rsidR="00544355" w:rsidRPr="00671DC6">
              <w:rPr>
                <w:rFonts w:ascii="Arial" w:eastAsia="Times New Roman" w:hAnsi="Arial" w:cs="Arial"/>
                <w:lang w:val="nl-NL"/>
              </w:rPr>
              <w:t xml:space="preserve">bepaalt </w:t>
            </w:r>
            <w:r w:rsidR="00EF1874" w:rsidRPr="00671DC6">
              <w:rPr>
                <w:rFonts w:ascii="Arial" w:eastAsia="Times New Roman" w:hAnsi="Arial" w:cs="Arial"/>
                <w:lang w:val="nl-NL"/>
              </w:rPr>
              <w:t>van een dergelijke</w:t>
            </w:r>
            <w:r w:rsidR="00544355" w:rsidRPr="00671DC6">
              <w:rPr>
                <w:rFonts w:ascii="Arial" w:eastAsia="Times New Roman" w:hAnsi="Arial" w:cs="Arial"/>
                <w:lang w:val="nl-NL"/>
              </w:rPr>
              <w:t xml:space="preserve"> overschrijding (of risico daarop), heeft tot gevolg dat ook het koninklijk besluit van 5 oktober 1999 ‘tot uitvoering van artikel 51, § 4, van de wet betreffende de verplichte verzekering voor geneeskundige verzorging en uitkeringen, gecoördineerd op 14 juli 1994, houdende bepaling wat onder beduidende overschrijding of risico op beduidende overschrijding van de partiële begrotingsdoelstelling moet worden verstaan’ geen rechtsgrond meer heeft en geen rechtsgevolgen meer heeft. Het is de Algemene Raad die in het kader van diens bevoegdheden inzake begroting en het finaal beslissen over correctiemechanismen en andere maatregelen de beslissingen ter zake neemt</w:t>
            </w:r>
            <w:r w:rsidRPr="00671DC6">
              <w:rPr>
                <w:rFonts w:ascii="Arial" w:eastAsia="Times New Roman" w:hAnsi="Arial" w:cs="Arial"/>
                <w:lang w:val="nl-NL"/>
              </w:rPr>
              <w:t xml:space="preserve">. </w:t>
            </w:r>
          </w:p>
        </w:tc>
      </w:tr>
      <w:tr w:rsidR="00544355" w:rsidRPr="00A827F1" w14:paraId="262C6924" w14:textId="77777777" w:rsidTr="005F50EE">
        <w:tc>
          <w:tcPr>
            <w:tcW w:w="5104" w:type="dxa"/>
          </w:tcPr>
          <w:p w14:paraId="634546DE" w14:textId="77777777" w:rsidR="00544355" w:rsidRPr="00671DC6" w:rsidRDefault="00544355" w:rsidP="00477C89">
            <w:pPr>
              <w:spacing w:after="0" w:line="240" w:lineRule="auto"/>
              <w:jc w:val="both"/>
              <w:outlineLvl w:val="0"/>
              <w:rPr>
                <w:rFonts w:ascii="Arial" w:eastAsia="Times New Roman" w:hAnsi="Arial" w:cs="Arial"/>
                <w:lang w:val="nl-NL"/>
              </w:rPr>
            </w:pPr>
          </w:p>
        </w:tc>
        <w:tc>
          <w:tcPr>
            <w:tcW w:w="5104" w:type="dxa"/>
          </w:tcPr>
          <w:p w14:paraId="73BC9EFE" w14:textId="77777777" w:rsidR="00544355" w:rsidRPr="00671DC6" w:rsidRDefault="00544355" w:rsidP="00477C89">
            <w:pPr>
              <w:spacing w:after="0" w:line="240" w:lineRule="auto"/>
              <w:jc w:val="both"/>
              <w:outlineLvl w:val="0"/>
              <w:rPr>
                <w:rFonts w:ascii="Arial" w:eastAsia="Times New Roman" w:hAnsi="Arial" w:cs="Arial"/>
                <w:lang w:val="nl-NL"/>
              </w:rPr>
            </w:pPr>
          </w:p>
        </w:tc>
      </w:tr>
      <w:tr w:rsidR="00544355" w:rsidRPr="00A827F1" w14:paraId="66AAA175" w14:textId="77777777" w:rsidTr="005F50EE">
        <w:tc>
          <w:tcPr>
            <w:tcW w:w="5104" w:type="dxa"/>
          </w:tcPr>
          <w:p w14:paraId="6E922258" w14:textId="1D2BC7CD" w:rsidR="00544355" w:rsidRPr="00671DC6" w:rsidRDefault="00797C61" w:rsidP="00477C89">
            <w:pPr>
              <w:spacing w:after="0" w:line="240" w:lineRule="auto"/>
              <w:jc w:val="both"/>
              <w:outlineLvl w:val="0"/>
              <w:rPr>
                <w:rFonts w:ascii="Arial" w:eastAsia="Times New Roman" w:hAnsi="Arial" w:cs="Arial"/>
                <w:lang w:val="fr-BE"/>
              </w:rPr>
            </w:pPr>
            <w:r w:rsidRPr="00671DC6">
              <w:rPr>
                <w:rFonts w:ascii="Arial" w:eastAsia="Times New Roman" w:hAnsi="Arial" w:cs="Arial"/>
                <w:lang w:val="fr-FR"/>
              </w:rPr>
              <w:t>Les dispositions qui sont reprises</w:t>
            </w:r>
            <w:r w:rsidR="00544355" w:rsidRPr="00671DC6">
              <w:rPr>
                <w:rFonts w:ascii="Arial" w:eastAsia="Times New Roman" w:hAnsi="Arial" w:cs="Arial"/>
                <w:lang w:val="fr-FR"/>
              </w:rPr>
              <w:t xml:space="preserve"> concernent les mécanismes de correction et d’autres mesures à prévoir dans les accords, qui peuvent être déclenchés lorsqu'il est établi que l'objectif budgétaire annuel partiel est dépassé </w:t>
            </w:r>
            <w:r w:rsidRPr="00671DC6">
              <w:rPr>
                <w:rFonts w:ascii="Arial" w:eastAsia="Times New Roman" w:hAnsi="Arial" w:cs="Arial"/>
                <w:lang w:val="fr-FR"/>
              </w:rPr>
              <w:t xml:space="preserve">significativement </w:t>
            </w:r>
            <w:r w:rsidR="00544355" w:rsidRPr="00671DC6">
              <w:rPr>
                <w:rFonts w:ascii="Arial" w:eastAsia="Times New Roman" w:hAnsi="Arial" w:cs="Arial"/>
                <w:lang w:val="fr-FR"/>
              </w:rPr>
              <w:t>ou risque d</w:t>
            </w:r>
            <w:r w:rsidRPr="00671DC6">
              <w:rPr>
                <w:rFonts w:ascii="Arial" w:eastAsia="Times New Roman" w:hAnsi="Arial" w:cs="Arial"/>
                <w:lang w:val="fr-FR"/>
              </w:rPr>
              <w:t>’</w:t>
            </w:r>
            <w:r w:rsidR="00544355" w:rsidRPr="00671DC6">
              <w:rPr>
                <w:rFonts w:ascii="Arial" w:eastAsia="Times New Roman" w:hAnsi="Arial" w:cs="Arial"/>
                <w:lang w:val="fr-FR"/>
              </w:rPr>
              <w:t>être</w:t>
            </w:r>
            <w:r w:rsidRPr="00671DC6">
              <w:rPr>
                <w:rFonts w:ascii="Arial" w:eastAsia="Times New Roman" w:hAnsi="Arial" w:cs="Arial"/>
                <w:lang w:val="fr-FR"/>
              </w:rPr>
              <w:t xml:space="preserve"> dépassé significativement</w:t>
            </w:r>
            <w:r w:rsidR="00544355" w:rsidRPr="00671DC6">
              <w:rPr>
                <w:rFonts w:ascii="Arial" w:eastAsia="Times New Roman" w:hAnsi="Arial" w:cs="Arial"/>
                <w:lang w:val="fr-FR"/>
              </w:rPr>
              <w:t>.</w:t>
            </w:r>
            <w:r w:rsidR="00544355" w:rsidRPr="00671DC6">
              <w:rPr>
                <w:lang w:val="fr-FR"/>
              </w:rPr>
              <w:t xml:space="preserve"> </w:t>
            </w:r>
            <w:r w:rsidR="00544355" w:rsidRPr="00671DC6">
              <w:rPr>
                <w:rFonts w:ascii="Arial" w:eastAsia="Times New Roman" w:hAnsi="Arial" w:cs="Arial"/>
                <w:lang w:val="fr-FR"/>
              </w:rPr>
              <w:t>Ces dispositions ne s’appliquent pas aux accords conclus avec les fournisseurs d’implants. Cette exception découle de la compétence de la Commission d’accord entre les fournisseurs d’implants et les organismes assureurs, qui se limite exclusivement à la détermination de la marge de délivrance. Les modalités de remboursement des implants sont fixées par le Ministre, sur proposition de la Commission de remboursement des implants et des dispositifs médicaux invasifs.</w:t>
            </w:r>
          </w:p>
        </w:tc>
        <w:tc>
          <w:tcPr>
            <w:tcW w:w="5104" w:type="dxa"/>
          </w:tcPr>
          <w:p w14:paraId="773C7D94" w14:textId="1F00AFFE" w:rsidR="00544355" w:rsidRPr="00DF4489" w:rsidRDefault="00544355" w:rsidP="00477C89">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t>De bepalingen die wel worden overgenomen betreffen diegene inzake de correctiemechanismen en andere maatregelen die in de akkoorden moeten worden voorzien en die in werking kunnen worden gebracht zodra wordt vastgesteld dat de partiële jaarlijkse begrotingsdoelstelling beduidend wordt overschreden of dreigt te worden beduidend overschreden.</w:t>
            </w:r>
            <w:r w:rsidRPr="00671DC6">
              <w:rPr>
                <w:lang w:val="nl-NL"/>
              </w:rPr>
              <w:t xml:space="preserve"> </w:t>
            </w:r>
            <w:r w:rsidRPr="00671DC6">
              <w:rPr>
                <w:rFonts w:ascii="Arial" w:eastAsia="Times New Roman" w:hAnsi="Arial" w:cs="Arial"/>
                <w:lang w:val="nl-NL"/>
              </w:rPr>
              <w:t>Die bepalingen zijn niet van toepassing op akkoorden gesloten met verstrekkers van implantaten.  Deze uitzondering vloeit voort uit de bevoegdheid van de Akkoordencommissie tussen de verstrekkers van implantaten en de verzekeringsinstellingen die zich uitsluitend beperkt tot de vaststelling van de afleveringsmarge. De vergoedingsmodaliteiten van de implantaten worden vastgesteld door de Minister op voorstel van de Commissie Tegemoetkoming Implantaten en Invasieve Medische Hulpmiddelen.</w:t>
            </w:r>
          </w:p>
        </w:tc>
      </w:tr>
      <w:tr w:rsidR="00477C89" w:rsidRPr="00A827F1" w14:paraId="0FBFF271" w14:textId="77777777" w:rsidTr="005F50EE">
        <w:tc>
          <w:tcPr>
            <w:tcW w:w="5104" w:type="dxa"/>
          </w:tcPr>
          <w:p w14:paraId="0710D77F"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C27D916" w14:textId="6BA3F35C"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760D0EC4" w14:textId="77777777" w:rsidTr="005F50EE">
        <w:tc>
          <w:tcPr>
            <w:tcW w:w="5104" w:type="dxa"/>
          </w:tcPr>
          <w:p w14:paraId="37D2D18F" w14:textId="0085234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+23</w:t>
            </w:r>
          </w:p>
        </w:tc>
        <w:tc>
          <w:tcPr>
            <w:tcW w:w="5104" w:type="dxa"/>
          </w:tcPr>
          <w:p w14:paraId="2DBE3BE8" w14:textId="1075129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+23</w:t>
            </w:r>
          </w:p>
        </w:tc>
      </w:tr>
      <w:tr w:rsidR="00477C89" w:rsidRPr="004722CA" w14:paraId="690F730C" w14:textId="77777777" w:rsidTr="005F50EE">
        <w:tc>
          <w:tcPr>
            <w:tcW w:w="5104" w:type="dxa"/>
          </w:tcPr>
          <w:p w14:paraId="51C49D89"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EDC6B5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4F485BF" w14:textId="77777777" w:rsidTr="005F50EE">
        <w:tc>
          <w:tcPr>
            <w:tcW w:w="5104" w:type="dxa"/>
          </w:tcPr>
          <w:p w14:paraId="10BD9045" w14:textId="6F223792"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L’article 51 de la loi coordonnée fixe le processus de conclusion des accords. Un cadre temporel strict est prévu. La conclusion des accords par les </w:t>
            </w:r>
            <w:r w:rsidRPr="00D978FA">
              <w:rPr>
                <w:rFonts w:ascii="Arial" w:eastAsia="Times New Roman" w:hAnsi="Arial" w:cs="Arial"/>
                <w:lang w:val="fr-FR"/>
              </w:rPr>
              <w:lastRenderedPageBreak/>
              <w:t xml:space="preserve">commissions compétentes, l'approbation par le Comité de l’assurance et le Conseil général, qui décide de leur conformité au budget, doit avoir lieu au plus tard le 31 décembre. Si cela n’a pas été fait dans ce délai, il appartient au Comité de l’assurance d’établir un document. Le Comité de l’assurance dispose d'un mois à cet effet. Ce document doit être établi avant le 1er février par le Comité de l’assurance et approuvé par le Conseil général. </w:t>
            </w:r>
            <w:r w:rsidRPr="00825BC0">
              <w:rPr>
                <w:rFonts w:ascii="Arial" w:eastAsia="Times New Roman" w:hAnsi="Arial" w:cs="Arial"/>
                <w:lang w:val="fr-FR"/>
              </w:rPr>
              <w:t>Les membres de la commission d’accord</w:t>
            </w:r>
            <w:r w:rsidR="00A71985">
              <w:rPr>
                <w:rFonts w:ascii="Arial" w:eastAsia="Times New Roman" w:hAnsi="Arial" w:cs="Arial"/>
                <w:lang w:val="fr-FR"/>
              </w:rPr>
              <w:t>s</w:t>
            </w:r>
            <w:r w:rsidRPr="00825BC0">
              <w:rPr>
                <w:rFonts w:ascii="Arial" w:eastAsia="Times New Roman" w:hAnsi="Arial" w:cs="Arial"/>
                <w:lang w:val="fr-FR"/>
              </w:rPr>
              <w:t xml:space="preserve"> concernée sont invités à la réunion du Comité de l’assurance pendant laquelle le document est discuté. Ils siègent avec voix consultative, à moins qu’ils ne soient également membres du Comité de l’assurance avec voix délibérative. </w:t>
            </w:r>
            <w:r w:rsidRPr="00D978FA">
              <w:rPr>
                <w:rFonts w:ascii="Arial" w:eastAsia="Times New Roman" w:hAnsi="Arial" w:cs="Arial"/>
                <w:lang w:val="fr-FR"/>
              </w:rPr>
              <w:t xml:space="preserve">A défaut d'établissement d'un document par le Comité de l’assurance et d’une approbation du Conseil général dans ce délai, le Ministre peut établir un document. Le document adopté par le ministre est également soumis au Conseil général pour déterminer sa conformité avec le budget. </w:t>
            </w:r>
            <w:r w:rsidRPr="00936805">
              <w:rPr>
                <w:rFonts w:ascii="Arial" w:eastAsia="Times New Roman" w:hAnsi="Arial" w:cs="Arial"/>
                <w:lang w:val="fr-FR"/>
              </w:rPr>
              <w:t xml:space="preserve">L’établissement d’un document par le Ministre et l’approbation d’un document par le Conseil général doivent se faire avant le 1er mars. </w:t>
            </w:r>
            <w:r w:rsidRPr="00D978FA">
              <w:rPr>
                <w:rFonts w:ascii="Arial" w:eastAsia="Times New Roman" w:hAnsi="Arial" w:cs="Arial"/>
                <w:lang w:val="fr-FR"/>
              </w:rPr>
              <w:t xml:space="preserve">Ce document fixe notamment les tarifs d'honoraires des prestations de santé qui servent de base aux remboursements par l'assurance et qui doivent être respectés à l'égard des bénéficiaires de l'assurance par les dispensateurs de soins qui sont réputés avoir adhéré aux documents. </w:t>
            </w:r>
            <w:r w:rsidRPr="00936805">
              <w:rPr>
                <w:rFonts w:ascii="Arial" w:eastAsia="Times New Roman" w:hAnsi="Arial" w:cs="Arial"/>
                <w:lang w:val="fr-FR"/>
              </w:rPr>
              <w:t xml:space="preserve">Ce document peut également contenir toutes les mesures qui peuvent être prévues dans un accord (tarifs indicatifs, exigences particulières, utilisation alternative de l’indice, etc.). </w:t>
            </w:r>
            <w:r w:rsidR="00B66D7D" w:rsidRPr="00B66D7D">
              <w:rPr>
                <w:rFonts w:ascii="Arial" w:eastAsia="Times New Roman" w:hAnsi="Arial" w:cs="Arial"/>
                <w:lang w:val="fr-FR"/>
              </w:rPr>
              <w:t>Les accords et documents approuvés sont ensuite soumis au Conseil des ministres pour accord.</w:t>
            </w:r>
          </w:p>
        </w:tc>
        <w:tc>
          <w:tcPr>
            <w:tcW w:w="5104" w:type="dxa"/>
          </w:tcPr>
          <w:p w14:paraId="535452AC" w14:textId="5C0CC962"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lastRenderedPageBreak/>
              <w:t xml:space="preserve">Artikel 51 van de gecoördineerde wet stelt het proces vast voor het sluiten van de akkoorden. Er wordt een strikt tijdskader voorzien. Het sluiten van </w:t>
            </w:r>
            <w:r w:rsidRPr="00936805">
              <w:rPr>
                <w:rFonts w:ascii="Arial" w:eastAsia="Times New Roman" w:hAnsi="Arial" w:cs="Arial"/>
                <w:lang w:val="nl-NL"/>
              </w:rPr>
              <w:lastRenderedPageBreak/>
              <w:t>de akkoorden door de bevoegde commissies, de goedkeuring door het Verzekeringscomité en de Algemene raad, die beslist of de akkoorden in overeenstemming zijn met de begroting, moet ten laa</w:t>
            </w:r>
            <w:r>
              <w:rPr>
                <w:rFonts w:ascii="Arial" w:eastAsia="Times New Roman" w:hAnsi="Arial" w:cs="Arial"/>
                <w:lang w:val="nl-NL"/>
              </w:rPr>
              <w:t>t</w:t>
            </w:r>
            <w:r w:rsidRPr="00936805">
              <w:rPr>
                <w:rFonts w:ascii="Arial" w:eastAsia="Times New Roman" w:hAnsi="Arial" w:cs="Arial"/>
                <w:lang w:val="nl-NL"/>
              </w:rPr>
              <w:t xml:space="preserve">ste gebeuren op 31 december.  Als dat niet is gebeurd binnen die termijn, komt het aan het Verzekeringscomité toe om een document vast te stellen. Dit document moet vóór 1 februari worden vastgesteld door het Verzekeringscomité en goedgekeurd door de Algemene raad. </w:t>
            </w:r>
            <w:r w:rsidRPr="00E11D3F">
              <w:rPr>
                <w:rFonts w:ascii="Arial" w:eastAsia="Times New Roman" w:hAnsi="Arial" w:cs="Arial"/>
                <w:lang w:val="nl-NL"/>
              </w:rPr>
              <w:t xml:space="preserve">De leden van de betrokken akkoordencommissie worden uitgenodigd op de vergadering van het Verzekeringscomité tijdens dewelke het document wordt besproken. Ze zetelen met raadgevende stem, tenzij ze zelf ook stemgerechtigd lid van het Verzekeringscomité zouden zijn. </w:t>
            </w:r>
            <w:r w:rsidRPr="00936805">
              <w:rPr>
                <w:rFonts w:ascii="Arial" w:eastAsia="Times New Roman" w:hAnsi="Arial" w:cs="Arial"/>
                <w:lang w:val="nl-NL"/>
              </w:rPr>
              <w:t>Bij gebreke van vaststelling van een document door het Verzekeringscomité en goedkeuring door de Algemene raad binnen die termijn, kan de Minister een document vaststellen. Het door de Minister vastgestelde document wordt eveneens voorgelegd aan de Algemene raad om de overeenstemming met de begroting vast te stellen.</w:t>
            </w:r>
            <w:r w:rsidRPr="00936805">
              <w:rPr>
                <w:lang w:val="nl-NL"/>
              </w:rPr>
              <w:t xml:space="preserve"> </w:t>
            </w:r>
            <w:r w:rsidRPr="00936805">
              <w:rPr>
                <w:rFonts w:ascii="Arial" w:eastAsia="Times New Roman" w:hAnsi="Arial" w:cs="Arial"/>
                <w:lang w:val="nl-NL"/>
              </w:rPr>
              <w:t xml:space="preserve">De vaststelling van het document door de Minister en de goedkeuring van het document door de Algemene raad moeten gebeuren vóór 1 maart. In dat document worden o.m. de honorariumtarieven van de geneeskundige verstrekkingen vastgesteld die de basis zijn voor de vergoedingen door de verzekering en,  die ten overstaan van de rechthebbenden van de verzekering nageleefd moeten worden door de zorgverleners die geacht worden tot de documenten te zijn toegetreden.   Dit document kan verder alle maatregelen omvatten die in een akkoord kunnen worden voorzien (richttarieven, bijzondere eisen, alternatieve aanwending van de index, enz.). </w:t>
            </w:r>
            <w:r w:rsidR="00B66D7D" w:rsidRPr="00B66D7D">
              <w:rPr>
                <w:rFonts w:ascii="Arial" w:eastAsia="Times New Roman" w:hAnsi="Arial" w:cs="Arial"/>
                <w:lang w:val="nl-NL"/>
              </w:rPr>
              <w:t>De goedgekeurde akkoorden en documenten worden vervolgens voor akkoord voorgelegd aan de Ministerraad.</w:t>
            </w:r>
          </w:p>
        </w:tc>
      </w:tr>
      <w:tr w:rsidR="00477C89" w:rsidRPr="00A827F1" w14:paraId="7F87D16E" w14:textId="77777777" w:rsidTr="005F50EE">
        <w:tc>
          <w:tcPr>
            <w:tcW w:w="5104" w:type="dxa"/>
          </w:tcPr>
          <w:p w14:paraId="13BBD47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7D3B307"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63CA99BD" w14:textId="77777777" w:rsidTr="005F50EE">
        <w:tc>
          <w:tcPr>
            <w:tcW w:w="5104" w:type="dxa"/>
          </w:tcPr>
          <w:p w14:paraId="6DFC6D16" w14:textId="0A065066"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+24</w:t>
            </w:r>
          </w:p>
        </w:tc>
        <w:tc>
          <w:tcPr>
            <w:tcW w:w="5104" w:type="dxa"/>
          </w:tcPr>
          <w:p w14:paraId="07F1D6D0" w14:textId="539EB03E"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+24</w:t>
            </w:r>
          </w:p>
        </w:tc>
      </w:tr>
      <w:tr w:rsidR="00477C89" w:rsidRPr="004722CA" w14:paraId="76E172C0" w14:textId="77777777" w:rsidTr="005F50EE">
        <w:tc>
          <w:tcPr>
            <w:tcW w:w="5104" w:type="dxa"/>
          </w:tcPr>
          <w:p w14:paraId="187A6A8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B54FFAE"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E4A9472" w14:textId="77777777" w:rsidTr="005F50EE">
        <w:tc>
          <w:tcPr>
            <w:tcW w:w="5104" w:type="dxa"/>
          </w:tcPr>
          <w:p w14:paraId="41FC26F6" w14:textId="09210BE5"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Cet article complète la loi coordonnée par un article 51/1 qui fixe les règles relatives à la notification des accords et des documents aux dispensateurs de soins, ainsi que les règles selon lesquelles les dispensateurs de soins doivent communiquer leurs refus d’adhérer à ces accords </w:t>
            </w:r>
            <w:r>
              <w:rPr>
                <w:rFonts w:ascii="Arial" w:eastAsia="Times New Roman" w:hAnsi="Arial" w:cs="Arial"/>
                <w:lang w:val="fr-FR"/>
              </w:rPr>
              <w:t>ou</w:t>
            </w:r>
            <w:r w:rsidRPr="00D978FA">
              <w:rPr>
                <w:rFonts w:ascii="Arial" w:eastAsia="Times New Roman" w:hAnsi="Arial" w:cs="Arial"/>
                <w:lang w:val="fr-FR"/>
              </w:rPr>
              <w:t xml:space="preserve"> documents.</w:t>
            </w:r>
          </w:p>
        </w:tc>
        <w:tc>
          <w:tcPr>
            <w:tcW w:w="5104" w:type="dxa"/>
          </w:tcPr>
          <w:p w14:paraId="016F84E9" w14:textId="3AACEB40"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Dit artikel vult de gecoördineerde wet aan met een artikel 51/1 dat de regels vaststelt betreffende de kennisgeving van de akkoorden en de documenten aan de zorgverleners, alsook de regels volgens dewelke de zorgverleners hun weigering van toetreding tot die akkoorden of documenten moeten meedelen.</w:t>
            </w:r>
          </w:p>
        </w:tc>
      </w:tr>
      <w:tr w:rsidR="00477C89" w:rsidRPr="00A827F1" w14:paraId="4B4E40AD" w14:textId="77777777" w:rsidTr="005F50EE">
        <w:tc>
          <w:tcPr>
            <w:tcW w:w="5104" w:type="dxa"/>
          </w:tcPr>
          <w:p w14:paraId="7E2D9CEC"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6EA085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88A0D4F" w14:textId="77777777" w:rsidTr="005F50EE">
        <w:tc>
          <w:tcPr>
            <w:tcW w:w="5104" w:type="dxa"/>
          </w:tcPr>
          <w:p w14:paraId="67DA2759" w14:textId="3B1DF717" w:rsidR="00477C89" w:rsidRPr="00E417A8" w:rsidRDefault="00477C89" w:rsidP="00477C89">
            <w:pPr>
              <w:spacing w:after="0" w:line="240" w:lineRule="auto"/>
              <w:jc w:val="both"/>
              <w:outlineLvl w:val="0"/>
              <w:rPr>
                <w:rFonts w:ascii="Arial" w:eastAsia="Times New Roman" w:hAnsi="Arial" w:cs="Arial"/>
                <w:lang w:val="fr-FR"/>
              </w:rPr>
            </w:pPr>
            <w:r w:rsidRPr="00E417A8">
              <w:rPr>
                <w:rFonts w:ascii="Arial" w:eastAsia="Times New Roman" w:hAnsi="Arial" w:cs="Arial"/>
                <w:lang w:val="fr-FR"/>
              </w:rPr>
              <w:lastRenderedPageBreak/>
              <w:t>Le principe de l’opt-out est maintenu. Les dispensateurs de soins qui n'ont pas notifié leur refus d'adhérer aux accords ou documents sont réputés avoir adhéré aux accords ou documents pour la durée de l'accord ou du document. Le refus doit être notifié au Service des soins de santé de l’INAMI dans les trente jours à compter de la date de transmission de l’accord ou du document par ce Service.</w:t>
            </w:r>
          </w:p>
          <w:p w14:paraId="1414159A" w14:textId="77777777" w:rsidR="00477C89" w:rsidRPr="00E417A8" w:rsidRDefault="00477C89" w:rsidP="00477C89">
            <w:pPr>
              <w:spacing w:after="0" w:line="240" w:lineRule="auto"/>
              <w:jc w:val="both"/>
              <w:outlineLvl w:val="0"/>
              <w:rPr>
                <w:rFonts w:ascii="Arial" w:eastAsia="Times New Roman" w:hAnsi="Arial" w:cs="Arial"/>
                <w:lang w:val="fr-FR"/>
              </w:rPr>
            </w:pPr>
          </w:p>
        </w:tc>
        <w:tc>
          <w:tcPr>
            <w:tcW w:w="5104" w:type="dxa"/>
          </w:tcPr>
          <w:p w14:paraId="618D65DF" w14:textId="20207A24"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 xml:space="preserve">Het principe van de opt-out blijft behouden. De zorgverleners die geen kennis hebben gegeven van hun weigering tot toetreding tot de akkoorden of de documenten worden geacht tot deze akkoorden of deze documenten te zijn toegetreden voor de duur van het akkoord of het document. De weigering moet ter kennis worden gebracht aan de Dienst voor geneeskundige verzorging van het Riziv binnen dertig dagen te rekenen vanaf de datum van verzending van het akkoord of het document door deze Dienst. </w:t>
            </w:r>
          </w:p>
        </w:tc>
      </w:tr>
      <w:tr w:rsidR="00477C89" w:rsidRPr="00A827F1" w14:paraId="7725BED2" w14:textId="77777777" w:rsidTr="005F50EE">
        <w:tc>
          <w:tcPr>
            <w:tcW w:w="5104" w:type="dxa"/>
          </w:tcPr>
          <w:p w14:paraId="29A8C80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B0E1AC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091367F" w14:textId="77777777" w:rsidTr="005F50EE">
        <w:tc>
          <w:tcPr>
            <w:tcW w:w="5104" w:type="dxa"/>
          </w:tcPr>
          <w:p w14:paraId="4377DB13" w14:textId="31CF5A9C"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Pour les médecins, les praticiens de l’art dentaire, les kinésithérapeutes, les logopèdes et les sage-femmes, cette notification de refus se fait par le biais de l’application en ligne sécurisée mise à leur disposition par l’Institut. Pour les médecins et les dentistes, cette obligation est déjà inscrite dans la disposition légale actuelle. Pour les kinésithérapeutes et les logopèdes, cette obligation résulte de l’arrêté royal du 10 février 2018 concernant la notification électronique de refus d'adhésion aux conventions mentionnée à l'article 49, § 3, de la loi relative à l'assurance obligatoire soins de santé et indemnités, coordonnée le 14 juillet 1994. Pour les autres dispensateurs de soins, la notification de refus se fait au moyen d’un formulaire mis à disposition via le site internet de l’INAMI. Ce formulaire doit être muni d'une signature manuscrite ou d'une signature électronique qualifiée et doit être transmis à l'INAMI par lettre recommandée à la poste ou par e-mail. Le Comité de l’assurance peut, par un règlement visé à l’article 22, 11°, préciser, pour chaque catégorie d’autres dispensateurs de soins, la date à partir de laquelle la notification de refus se fait exclusivement au moyen de l’application web sécurisée susmentionnée. Un tel règlement sera pris lorsque l’application en ligne sécurisée sera disponible pour un nouveau secteur.</w:t>
            </w:r>
          </w:p>
        </w:tc>
        <w:tc>
          <w:tcPr>
            <w:tcW w:w="5104" w:type="dxa"/>
          </w:tcPr>
          <w:p w14:paraId="681C4BB4" w14:textId="5BC0B88E" w:rsidR="00477C89" w:rsidRPr="00DF4489" w:rsidRDefault="00477C89" w:rsidP="00477C89">
            <w:pPr>
              <w:spacing w:after="0" w:line="240" w:lineRule="auto"/>
              <w:jc w:val="both"/>
              <w:outlineLvl w:val="0"/>
              <w:rPr>
                <w:rFonts w:ascii="Arial" w:eastAsia="Times New Roman" w:hAnsi="Arial" w:cs="Arial"/>
                <w:lang w:val="nl-NL"/>
              </w:rPr>
            </w:pPr>
            <w:r w:rsidRPr="00BC0DC7">
              <w:rPr>
                <w:rFonts w:ascii="Arial" w:eastAsia="Times New Roman" w:hAnsi="Arial" w:cs="Arial"/>
                <w:lang w:val="nl-NL"/>
              </w:rPr>
              <w:t>Voor artsen, tandheelkundigen, kinesitherapeuten, logopedisten en vroedvrouwen gebeurt deze kennisgeving van weigering via de beveiligde onlinetoepassing die hun ter beschikking is gesteld door het Instituut. Voor de artsen en de tandartsen is deze verplichting al ingeschreven in de huidige wetsbepaling. Voor kinesitherapeuten en logopedisten volgt deze verplichting uit het koninklijk besluit van 10 februari 2018 inzake de elektronische kennisgave van weigering tot toetreding tot overeenkomsten bedoeld in artikel 49, § 3, van de wet betreffende de verplichte verzekering voor geneeskundige verzorging en uitkeringen, gecoördineerd op 14 juli 1994. Voor de overige zorgverleners gebeurt de kennisgeving van weigering door middel van een formulier dat via de website van het Riziv ter beschikking wordt gesteld. Dit formulier moet voorzien zijn van een handgeschreven handtekening of gekwalificeerde elektronische handtekening en moet bij een ter post aangetekende brief of via e-mail aan het Instituut worden overgemaakt. Het Verzekeringscomité kan bij een in artikel 22, 11°, bedoelde verordening voor elke categorie van overige zorgverleners de datum vastleggen vanaf dewelke de kennisgeving van weigering uitsluitend via voornoemde beveiligde webtoepassing dient te gebeuren. Een dergelijke verordening zal worden genomen wanneer de beveiligde onlinetoepassing voor een nieuwe sector beschikbaar is.</w:t>
            </w:r>
          </w:p>
        </w:tc>
      </w:tr>
      <w:tr w:rsidR="00477C89" w:rsidRPr="00A827F1" w14:paraId="562950F7" w14:textId="77777777" w:rsidTr="005F50EE">
        <w:tc>
          <w:tcPr>
            <w:tcW w:w="5104" w:type="dxa"/>
          </w:tcPr>
          <w:p w14:paraId="7DE4748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0569F48"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B999015" w14:textId="77777777" w:rsidTr="005F50EE">
        <w:tc>
          <w:tcPr>
            <w:tcW w:w="5104" w:type="dxa"/>
          </w:tcPr>
          <w:p w14:paraId="0D76A349" w14:textId="3764DC6A" w:rsidR="00477C89" w:rsidRPr="009B50C8" w:rsidRDefault="00477C89" w:rsidP="00477C89">
            <w:pPr>
              <w:spacing w:after="0" w:line="240" w:lineRule="auto"/>
              <w:jc w:val="both"/>
              <w:outlineLvl w:val="0"/>
              <w:rPr>
                <w:rFonts w:ascii="Arial" w:eastAsia="Times New Roman" w:hAnsi="Arial" w:cs="Arial"/>
                <w:lang w:val="fr-FR"/>
              </w:rPr>
            </w:pPr>
            <w:r w:rsidRPr="009B50C8">
              <w:rPr>
                <w:rFonts w:ascii="Arial" w:eastAsia="Times New Roman" w:hAnsi="Arial" w:cs="Arial"/>
                <w:lang w:val="fr-FR"/>
              </w:rPr>
              <w:t xml:space="preserve">Les accords et documents entrent en vigueur </w:t>
            </w:r>
            <w:r w:rsidR="00B61920" w:rsidRPr="009B50C8">
              <w:rPr>
                <w:rFonts w:ascii="Arial" w:eastAsia="Times New Roman" w:hAnsi="Arial" w:cs="Arial"/>
                <w:lang w:val="fr-FR"/>
              </w:rPr>
              <w:t>pour les dispensateurs de soins qui y ont adhéré</w:t>
            </w:r>
            <w:r w:rsidRPr="009B50C8">
              <w:rPr>
                <w:rFonts w:ascii="Arial" w:eastAsia="Times New Roman" w:hAnsi="Arial" w:cs="Arial"/>
                <w:lang w:val="fr-FR"/>
              </w:rPr>
              <w:t xml:space="preserve">, quarante-cinq jours après l'envoi du texte des accords approuvés par le </w:t>
            </w:r>
            <w:r w:rsidR="00B66D7D">
              <w:rPr>
                <w:rFonts w:ascii="Arial" w:eastAsia="Times New Roman" w:hAnsi="Arial" w:cs="Arial"/>
                <w:lang w:val="fr-FR"/>
              </w:rPr>
              <w:t>Conseil des ministres</w:t>
            </w:r>
            <w:r w:rsidRPr="009B50C8">
              <w:rPr>
                <w:rFonts w:ascii="Arial" w:eastAsia="Times New Roman" w:hAnsi="Arial" w:cs="Arial"/>
                <w:lang w:val="fr-FR"/>
              </w:rPr>
              <w:t xml:space="preserve"> ou quarante-cinq jours après l'envoi des documents </w:t>
            </w:r>
            <w:r w:rsidR="00B66D7D">
              <w:rPr>
                <w:rFonts w:ascii="Arial" w:eastAsia="Times New Roman" w:hAnsi="Arial" w:cs="Arial"/>
                <w:lang w:val="fr-FR"/>
              </w:rPr>
              <w:t>approuvés par le Conseil des ministres</w:t>
            </w:r>
            <w:r w:rsidRPr="009B50C8">
              <w:rPr>
                <w:rFonts w:ascii="Arial" w:eastAsia="Times New Roman" w:hAnsi="Arial" w:cs="Arial"/>
                <w:lang w:val="fr-FR"/>
              </w:rPr>
              <w:t xml:space="preserve"> qui les concernent, sauf si plus de </w:t>
            </w:r>
            <w:r>
              <w:rPr>
                <w:rFonts w:ascii="Arial" w:eastAsia="Times New Roman" w:hAnsi="Arial" w:cs="Arial"/>
                <w:lang w:val="fr-FR"/>
              </w:rPr>
              <w:t>40</w:t>
            </w:r>
            <w:r w:rsidRPr="009B50C8">
              <w:rPr>
                <w:rFonts w:ascii="Arial" w:eastAsia="Times New Roman" w:hAnsi="Arial" w:cs="Arial"/>
                <w:lang w:val="fr-FR"/>
              </w:rPr>
              <w:t xml:space="preserve"> p.c. des dispensateurs de soins ont notifié leur refus </w:t>
            </w:r>
            <w:r w:rsidRPr="009B50C8">
              <w:rPr>
                <w:rFonts w:ascii="Arial" w:eastAsia="Times New Roman" w:hAnsi="Arial" w:cs="Arial"/>
                <w:lang w:val="fr-FR"/>
              </w:rPr>
              <w:lastRenderedPageBreak/>
              <w:t xml:space="preserve">d'adhésion aux termes desdits accords ou documents. Par conséquent, les </w:t>
            </w:r>
            <w:r>
              <w:rPr>
                <w:rFonts w:ascii="Arial" w:eastAsia="Times New Roman" w:hAnsi="Arial" w:cs="Arial"/>
                <w:lang w:val="fr-FR"/>
              </w:rPr>
              <w:t>accords avec les secteurs autres que les médecins et les dentistes</w:t>
            </w:r>
            <w:r w:rsidRPr="009B50C8">
              <w:rPr>
                <w:rFonts w:ascii="Arial" w:eastAsia="Times New Roman" w:hAnsi="Arial" w:cs="Arial"/>
                <w:lang w:val="fr-FR"/>
              </w:rPr>
              <w:t xml:space="preserve"> doivent désormais également atteindre un certain pourcentage d'adhésion pour pouvoir entrer en vigueur</w:t>
            </w:r>
            <w:r w:rsidR="00B61920" w:rsidRPr="009B50C8">
              <w:rPr>
                <w:rFonts w:ascii="Arial" w:eastAsia="Times New Roman" w:hAnsi="Arial" w:cs="Arial"/>
                <w:lang w:val="fr-FR"/>
              </w:rPr>
              <w:t>.</w:t>
            </w:r>
            <w:r w:rsidRPr="009B50C8">
              <w:rPr>
                <w:rFonts w:ascii="Arial" w:eastAsia="Times New Roman" w:hAnsi="Arial" w:cs="Arial"/>
                <w:lang w:val="fr-FR"/>
              </w:rPr>
              <w:t xml:space="preserve"> L'exigence d'un certain quorum pour les médecins généralistes d'une part et les médecins spécialistes d'autre part est maintenue pour les accords</w:t>
            </w:r>
            <w:r>
              <w:rPr>
                <w:rFonts w:ascii="Arial" w:eastAsia="Times New Roman" w:hAnsi="Arial" w:cs="Arial"/>
                <w:lang w:val="fr-FR"/>
              </w:rPr>
              <w:t xml:space="preserve"> avec les médecins</w:t>
            </w:r>
            <w:r w:rsidRPr="009B50C8">
              <w:rPr>
                <w:rFonts w:ascii="Arial" w:eastAsia="Times New Roman" w:hAnsi="Arial" w:cs="Arial"/>
                <w:lang w:val="fr-FR"/>
              </w:rPr>
              <w:t xml:space="preserve">. Le recensement se fera uniquement au niveau national. </w:t>
            </w:r>
            <w:r w:rsidR="00B61920" w:rsidRPr="009B50C8">
              <w:rPr>
                <w:rFonts w:ascii="Arial" w:eastAsia="Times New Roman" w:hAnsi="Arial" w:cs="Arial"/>
                <w:lang w:val="fr-FR"/>
              </w:rPr>
              <w:t>Le recensement par région, et par conséquent la possibilité qu'un accord n'entre en vigueur que dans certaines régions, sont supprimés</w:t>
            </w:r>
            <w:r w:rsidRPr="00A45A79">
              <w:rPr>
                <w:rFonts w:ascii="Arial" w:eastAsia="Times New Roman" w:hAnsi="Arial" w:cs="Arial"/>
                <w:lang w:val="fr-FR"/>
              </w:rPr>
              <w:t>.</w:t>
            </w:r>
          </w:p>
          <w:p w14:paraId="20E60ACA" w14:textId="77777777" w:rsidR="00477C89" w:rsidRPr="009B50C8" w:rsidRDefault="00477C89" w:rsidP="00477C89">
            <w:pPr>
              <w:spacing w:after="0" w:line="240" w:lineRule="auto"/>
              <w:jc w:val="both"/>
              <w:outlineLvl w:val="0"/>
              <w:rPr>
                <w:rFonts w:ascii="Arial" w:eastAsia="Times New Roman" w:hAnsi="Arial" w:cs="Arial"/>
                <w:lang w:val="fr-FR"/>
              </w:rPr>
            </w:pPr>
          </w:p>
        </w:tc>
        <w:tc>
          <w:tcPr>
            <w:tcW w:w="5104" w:type="dxa"/>
          </w:tcPr>
          <w:p w14:paraId="3438A187" w14:textId="4F7142A0" w:rsidR="00477C89" w:rsidRPr="00936805" w:rsidRDefault="00477C89" w:rsidP="00477C89">
            <w:pPr>
              <w:spacing w:after="0" w:line="240" w:lineRule="auto"/>
              <w:jc w:val="both"/>
              <w:outlineLvl w:val="0"/>
              <w:rPr>
                <w:rFonts w:ascii="Arial" w:eastAsia="Times New Roman" w:hAnsi="Arial" w:cs="Arial"/>
                <w:lang w:val="nl-NL"/>
              </w:rPr>
            </w:pPr>
            <w:r w:rsidRPr="00936805">
              <w:rPr>
                <w:rFonts w:ascii="Arial" w:eastAsia="Times New Roman" w:hAnsi="Arial" w:cs="Arial"/>
                <w:lang w:val="nl-NL"/>
              </w:rPr>
              <w:lastRenderedPageBreak/>
              <w:t xml:space="preserve">De akkoorden en de documenten treden in werking </w:t>
            </w:r>
            <w:r w:rsidR="00B61920" w:rsidRPr="00936805">
              <w:rPr>
                <w:rFonts w:ascii="Arial" w:eastAsia="Times New Roman" w:hAnsi="Arial" w:cs="Arial"/>
                <w:lang w:val="nl-NL"/>
              </w:rPr>
              <w:t>voor de toegetreden zorgverleners</w:t>
            </w:r>
            <w:r w:rsidRPr="00936805">
              <w:rPr>
                <w:rFonts w:ascii="Arial" w:eastAsia="Times New Roman" w:hAnsi="Arial" w:cs="Arial"/>
                <w:lang w:val="nl-NL"/>
              </w:rPr>
              <w:t xml:space="preserve">, vijfenveertig dagen   na de verzending van de tekst van de door </w:t>
            </w:r>
            <w:r w:rsidR="00B66D7D">
              <w:rPr>
                <w:rFonts w:ascii="Arial" w:eastAsia="Times New Roman" w:hAnsi="Arial" w:cs="Arial"/>
                <w:lang w:val="nl-NL"/>
              </w:rPr>
              <w:t>de Ministerraad</w:t>
            </w:r>
            <w:r w:rsidRPr="00936805">
              <w:rPr>
                <w:rFonts w:ascii="Arial" w:eastAsia="Times New Roman" w:hAnsi="Arial" w:cs="Arial"/>
                <w:lang w:val="nl-NL"/>
              </w:rPr>
              <w:t xml:space="preserve">  goedgekeurde akkoorden of vijfenveertig dagen na de verzending van de door </w:t>
            </w:r>
            <w:r w:rsidR="00B66D7D">
              <w:rPr>
                <w:rFonts w:ascii="Arial" w:eastAsia="Times New Roman" w:hAnsi="Arial" w:cs="Arial"/>
                <w:lang w:val="nl-NL"/>
              </w:rPr>
              <w:t>de Ministerraad goedgekeurde</w:t>
            </w:r>
            <w:r w:rsidRPr="00936805">
              <w:rPr>
                <w:rFonts w:ascii="Arial" w:eastAsia="Times New Roman" w:hAnsi="Arial" w:cs="Arial"/>
                <w:lang w:val="nl-NL"/>
              </w:rPr>
              <w:t xml:space="preserve"> documenten die op hen betrekking hebben, behoudens indien meer dan </w:t>
            </w:r>
            <w:r>
              <w:rPr>
                <w:rFonts w:ascii="Arial" w:eastAsia="Times New Roman" w:hAnsi="Arial" w:cs="Arial"/>
                <w:lang w:val="nl-NL"/>
              </w:rPr>
              <w:t>40</w:t>
            </w:r>
            <w:r w:rsidRPr="00936805">
              <w:rPr>
                <w:rFonts w:ascii="Arial" w:eastAsia="Times New Roman" w:hAnsi="Arial" w:cs="Arial"/>
                <w:lang w:val="nl-NL"/>
              </w:rPr>
              <w:t xml:space="preserve"> percent van de zorgverleners kennis </w:t>
            </w:r>
            <w:r w:rsidRPr="00936805">
              <w:rPr>
                <w:rFonts w:ascii="Arial" w:eastAsia="Times New Roman" w:hAnsi="Arial" w:cs="Arial"/>
                <w:lang w:val="nl-NL"/>
              </w:rPr>
              <w:lastRenderedPageBreak/>
              <w:t>hebben gegeven van hun weigering tot toetreding tot de termen van de genoemde akkoorden of documenten. Voor de akkoorden met andere sectoren dan de artsen en de tandheelkundigen wordt voortaan dus ook vereist dat een bepaald toetredingspercentage is bereikt opdat die akkoorden in werking kunnen treden</w:t>
            </w:r>
            <w:r w:rsidR="00B61920" w:rsidRPr="00936805">
              <w:rPr>
                <w:rFonts w:ascii="Arial" w:eastAsia="Times New Roman" w:hAnsi="Arial" w:cs="Arial"/>
                <w:lang w:val="nl-NL"/>
              </w:rPr>
              <w:t>.</w:t>
            </w:r>
            <w:r w:rsidRPr="00936805">
              <w:rPr>
                <w:rFonts w:ascii="Arial" w:eastAsia="Times New Roman" w:hAnsi="Arial" w:cs="Arial"/>
                <w:lang w:val="nl-NL"/>
              </w:rPr>
              <w:t xml:space="preserve"> De vereiste dat voor de akkoorden met de artsen ook een bepaald quorum wordt bereikt voor de algemeen geneeskundigen enerzijds en de artsen-specialisten anderzijds blijft behouden.  </w:t>
            </w:r>
            <w:r w:rsidR="00B61920" w:rsidRPr="00936805">
              <w:rPr>
                <w:rFonts w:ascii="Arial" w:eastAsia="Times New Roman" w:hAnsi="Arial" w:cs="Arial"/>
                <w:lang w:val="nl-NL"/>
              </w:rPr>
              <w:t>De telling zal alleen nog op nationaal niveau gebeuren. De telling per streek, en daaruit volgend de mogelijkheid dat een akkoord slechts in bepaalde streken in werking zou treden, worden geschrapt.</w:t>
            </w:r>
          </w:p>
        </w:tc>
      </w:tr>
      <w:tr w:rsidR="00477C89" w:rsidRPr="00A827F1" w14:paraId="4049DFE4" w14:textId="77777777" w:rsidTr="005F50EE">
        <w:tc>
          <w:tcPr>
            <w:tcW w:w="5104" w:type="dxa"/>
          </w:tcPr>
          <w:p w14:paraId="4D395FE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D200418"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5E28271B" w14:textId="77777777" w:rsidTr="005F50EE">
        <w:tc>
          <w:tcPr>
            <w:tcW w:w="5104" w:type="dxa"/>
          </w:tcPr>
          <w:p w14:paraId="4D76C092" w14:textId="7254DB52"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+25</w:t>
            </w:r>
          </w:p>
        </w:tc>
        <w:tc>
          <w:tcPr>
            <w:tcW w:w="5104" w:type="dxa"/>
          </w:tcPr>
          <w:p w14:paraId="5FC686A4" w14:textId="7F292C66"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+25</w:t>
            </w:r>
          </w:p>
        </w:tc>
      </w:tr>
      <w:tr w:rsidR="00477C89" w:rsidRPr="004722CA" w14:paraId="7FBC28B7" w14:textId="77777777" w:rsidTr="005F50EE">
        <w:tc>
          <w:tcPr>
            <w:tcW w:w="5104" w:type="dxa"/>
          </w:tcPr>
          <w:p w14:paraId="6A13925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BE2329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778886D" w14:textId="77777777" w:rsidTr="005F50EE">
        <w:tc>
          <w:tcPr>
            <w:tcW w:w="5104" w:type="dxa"/>
          </w:tcPr>
          <w:p w14:paraId="7072EE76" w14:textId="69994A93" w:rsidR="00477C89" w:rsidRPr="009B50C8" w:rsidRDefault="00477C89" w:rsidP="00477C89">
            <w:pPr>
              <w:spacing w:after="0" w:line="240" w:lineRule="auto"/>
              <w:jc w:val="both"/>
              <w:outlineLvl w:val="0"/>
              <w:rPr>
                <w:rFonts w:ascii="Arial" w:eastAsia="Times New Roman" w:hAnsi="Arial" w:cs="Arial"/>
                <w:lang w:val="fr-FR"/>
              </w:rPr>
            </w:pPr>
            <w:r w:rsidRPr="009B50C8">
              <w:rPr>
                <w:rFonts w:ascii="Arial" w:eastAsia="Times New Roman" w:hAnsi="Arial" w:cs="Arial"/>
                <w:lang w:val="fr-FR"/>
              </w:rPr>
              <w:t>Cet article complète la loi coordonnée par un article 51/2 dans lequel la durée des accords et des documents est réglée.</w:t>
            </w:r>
          </w:p>
        </w:tc>
        <w:tc>
          <w:tcPr>
            <w:tcW w:w="5104" w:type="dxa"/>
          </w:tcPr>
          <w:p w14:paraId="043319FC" w14:textId="5C5434BB" w:rsidR="00477C89" w:rsidRPr="00DF4489" w:rsidRDefault="00477C89" w:rsidP="00477C89">
            <w:pPr>
              <w:spacing w:after="0" w:line="240" w:lineRule="auto"/>
              <w:jc w:val="both"/>
              <w:outlineLvl w:val="0"/>
              <w:rPr>
                <w:rFonts w:ascii="Arial" w:eastAsia="Times New Roman" w:hAnsi="Arial" w:cs="Arial"/>
                <w:lang w:val="nl-NL"/>
              </w:rPr>
            </w:pPr>
            <w:r w:rsidRPr="0013795C">
              <w:rPr>
                <w:rFonts w:ascii="Arial" w:eastAsia="Times New Roman" w:hAnsi="Arial" w:cs="Arial"/>
                <w:lang w:val="nl-NL"/>
              </w:rPr>
              <w:t>Dit artikel vult de gec</w:t>
            </w:r>
            <w:r>
              <w:rPr>
                <w:rFonts w:ascii="Arial" w:eastAsia="Times New Roman" w:hAnsi="Arial" w:cs="Arial"/>
                <w:lang w:val="nl-NL"/>
              </w:rPr>
              <w:t>o</w:t>
            </w:r>
            <w:r w:rsidRPr="0013795C">
              <w:rPr>
                <w:rFonts w:ascii="Arial" w:eastAsia="Times New Roman" w:hAnsi="Arial" w:cs="Arial"/>
                <w:lang w:val="nl-NL"/>
              </w:rPr>
              <w:t xml:space="preserve">ördineerde wet aan met een artikel 51/2 waarin de duurtijd van de akkoorden en de documenten wordt geregeld. </w:t>
            </w:r>
          </w:p>
        </w:tc>
      </w:tr>
      <w:tr w:rsidR="00477C89" w:rsidRPr="00A827F1" w14:paraId="5DB1730C" w14:textId="77777777" w:rsidTr="005F50EE">
        <w:tc>
          <w:tcPr>
            <w:tcW w:w="5104" w:type="dxa"/>
          </w:tcPr>
          <w:p w14:paraId="2B8F9DFC"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FACA7E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5DAACDE7" w14:textId="77777777" w:rsidTr="005F50EE">
        <w:tc>
          <w:tcPr>
            <w:tcW w:w="5104" w:type="dxa"/>
          </w:tcPr>
          <w:p w14:paraId="7B978D6A" w14:textId="09A8693A"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Les accords doivent en principe être conclues pour une période d’au moins deux ans calendrier. </w:t>
            </w:r>
            <w:r w:rsidRPr="009B50C8">
              <w:rPr>
                <w:rFonts w:ascii="Arial" w:eastAsia="Times New Roman" w:hAnsi="Arial" w:cs="Arial"/>
                <w:lang w:val="fr-FR"/>
              </w:rPr>
              <w:t xml:space="preserve">Si la commission compétente veut prolonger l’accord, elle doit le décider expressément au plus tard le 30 septembre de l’année au cours de laquelle l’accord expire. En effet, dans le nouveau processus, il doit être clair en temps utile si l’on peut supposer qu’une prolongation est </w:t>
            </w:r>
            <w:r>
              <w:rPr>
                <w:rFonts w:ascii="Arial" w:eastAsia="Times New Roman" w:hAnsi="Arial" w:cs="Arial"/>
                <w:lang w:val="fr-FR"/>
              </w:rPr>
              <w:t>envisagée</w:t>
            </w:r>
            <w:r w:rsidRPr="009B50C8">
              <w:rPr>
                <w:rFonts w:ascii="Arial" w:eastAsia="Times New Roman" w:hAnsi="Arial" w:cs="Arial"/>
                <w:lang w:val="fr-FR"/>
              </w:rPr>
              <w:t xml:space="preserve"> ou si l’on doit supposer que le processus dans lequel d’abord, la commission d’accord</w:t>
            </w:r>
            <w:r w:rsidR="00A71985">
              <w:rPr>
                <w:rFonts w:ascii="Arial" w:eastAsia="Times New Roman" w:hAnsi="Arial" w:cs="Arial"/>
                <w:lang w:val="fr-FR"/>
              </w:rPr>
              <w:t>s</w:t>
            </w:r>
            <w:r w:rsidRPr="009B50C8">
              <w:rPr>
                <w:rFonts w:ascii="Arial" w:eastAsia="Times New Roman" w:hAnsi="Arial" w:cs="Arial"/>
                <w:lang w:val="fr-FR"/>
              </w:rPr>
              <w:t xml:space="preserve"> concernée et ensuite, si nécessaire, respectivement le Comité de l’assurance et le Ministre, a l’initiative, doit être achevé pour aboutir à un nouvel accord ou un nouveau document. Une telle prolongation sera toujours prévue pour une année civile, mais peut se produire plus d’une fois.</w:t>
            </w:r>
            <w:r w:rsidRPr="00825BC0">
              <w:rPr>
                <w:rFonts w:ascii="Arial" w:eastAsia="Times New Roman" w:hAnsi="Arial" w:cs="Arial"/>
                <w:lang w:val="fr-FR"/>
              </w:rPr>
              <w:t xml:space="preserve"> Les accords peuvent également prévoir une prolongation tacite d’année civile à année civile. Pour éviter une prolongation, la dénonciation doit alors se faire au plus tard trois mois avant la date d’expiration de l’accord.</w:t>
            </w:r>
          </w:p>
        </w:tc>
        <w:tc>
          <w:tcPr>
            <w:tcW w:w="5104" w:type="dxa"/>
          </w:tcPr>
          <w:p w14:paraId="00191798" w14:textId="1CD988E0" w:rsidR="00477C89" w:rsidRPr="00DF4489" w:rsidRDefault="00477C89" w:rsidP="00477C89">
            <w:pPr>
              <w:spacing w:after="0" w:line="240" w:lineRule="auto"/>
              <w:jc w:val="both"/>
              <w:outlineLvl w:val="0"/>
              <w:rPr>
                <w:rFonts w:ascii="Arial" w:eastAsia="Times New Roman" w:hAnsi="Arial" w:cs="Arial"/>
                <w:lang w:val="nl-NL"/>
              </w:rPr>
            </w:pPr>
            <w:r w:rsidRPr="0013795C">
              <w:rPr>
                <w:rFonts w:ascii="Arial" w:eastAsia="Times New Roman" w:hAnsi="Arial" w:cs="Arial"/>
                <w:lang w:val="nl-NL"/>
              </w:rPr>
              <w:t>De akkoorden moeten in principe worden gesloten voor een periode van ten minste twee kalenderjaren. Als de bevoegde commissie het akkoord wil verlengen, dient ze dit ten laatste op 30 september van het jaar waarin het akkoord afloopt uitdrukkelijk te beslissen. Immers,  in het nieuwe proces moet het tijdig helder zijn of er kan uitgegaan worden van een verlenging, dan wel of er moet van worden uitgegaan dat het proces waarbij eerst de betrokken akkoordencommissie, en vervolgens desnoods resp. het Verzekeringscomité en de Minister het initiatief heeft, zijn beslag moet krijgen om te komen tot een nieuw akkoord of document. Een dergelijke verlenging zal altijd gelden voor een kalenderjaar maar kan meermaals gebeuren.</w:t>
            </w:r>
            <w:r w:rsidRPr="00E11D3F">
              <w:rPr>
                <w:lang w:val="nl-NL"/>
              </w:rPr>
              <w:t xml:space="preserve"> </w:t>
            </w:r>
            <w:r w:rsidR="00FF120E">
              <w:rPr>
                <w:rFonts w:ascii="Arial" w:eastAsia="Times New Roman" w:hAnsi="Arial" w:cs="Arial"/>
                <w:lang w:val="nl-NL"/>
              </w:rPr>
              <w:t>De akkoorden kunnen ook voorzien in een stilzwijgende verlenging</w:t>
            </w:r>
            <w:r w:rsidR="00FF120E" w:rsidRPr="00026A3B">
              <w:rPr>
                <w:rFonts w:ascii="Arial" w:eastAsia="Times New Roman" w:hAnsi="Arial" w:cs="Arial"/>
                <w:lang w:val="nl-NL"/>
              </w:rPr>
              <w:t xml:space="preserve"> van </w:t>
            </w:r>
            <w:r w:rsidR="00FF120E">
              <w:rPr>
                <w:rFonts w:ascii="Arial" w:eastAsia="Times New Roman" w:hAnsi="Arial" w:cs="Arial"/>
                <w:lang w:val="nl-NL"/>
              </w:rPr>
              <w:t>kalender</w:t>
            </w:r>
            <w:r w:rsidR="00FF120E" w:rsidRPr="00026A3B">
              <w:rPr>
                <w:rFonts w:ascii="Arial" w:eastAsia="Times New Roman" w:hAnsi="Arial" w:cs="Arial"/>
                <w:lang w:val="nl-NL"/>
              </w:rPr>
              <w:t xml:space="preserve">jaar tot </w:t>
            </w:r>
            <w:r w:rsidR="00FF120E">
              <w:rPr>
                <w:rFonts w:ascii="Arial" w:eastAsia="Times New Roman" w:hAnsi="Arial" w:cs="Arial"/>
                <w:lang w:val="nl-NL"/>
              </w:rPr>
              <w:t>kalender</w:t>
            </w:r>
            <w:r w:rsidR="00FF120E" w:rsidRPr="00026A3B">
              <w:rPr>
                <w:rFonts w:ascii="Arial" w:eastAsia="Times New Roman" w:hAnsi="Arial" w:cs="Arial"/>
                <w:lang w:val="nl-NL"/>
              </w:rPr>
              <w:t>jaar</w:t>
            </w:r>
            <w:r w:rsidR="00FF120E">
              <w:rPr>
                <w:rFonts w:ascii="Arial" w:eastAsia="Times New Roman" w:hAnsi="Arial" w:cs="Arial"/>
                <w:lang w:val="nl-NL"/>
              </w:rPr>
              <w:t xml:space="preserve">. Om een verlenging te vermijden, moet de opzegging dan gebeuren </w:t>
            </w:r>
            <w:r w:rsidR="00FF120E" w:rsidRPr="00026A3B">
              <w:rPr>
                <w:rFonts w:ascii="Arial" w:eastAsia="Times New Roman" w:hAnsi="Arial" w:cs="Arial"/>
                <w:lang w:val="nl-NL"/>
              </w:rPr>
              <w:t xml:space="preserve">uiterlijk drie maanden vóór </w:t>
            </w:r>
            <w:r w:rsidR="00FF120E">
              <w:rPr>
                <w:rFonts w:ascii="Arial" w:eastAsia="Times New Roman" w:hAnsi="Arial" w:cs="Arial"/>
                <w:lang w:val="nl-NL"/>
              </w:rPr>
              <w:t xml:space="preserve">de </w:t>
            </w:r>
            <w:r w:rsidR="00FF120E" w:rsidRPr="00026A3B">
              <w:rPr>
                <w:rFonts w:ascii="Arial" w:eastAsia="Times New Roman" w:hAnsi="Arial" w:cs="Arial"/>
                <w:lang w:val="nl-NL"/>
              </w:rPr>
              <w:t>datum van verstrijken</w:t>
            </w:r>
            <w:r w:rsidR="00FF120E">
              <w:rPr>
                <w:rFonts w:ascii="Arial" w:eastAsia="Times New Roman" w:hAnsi="Arial" w:cs="Arial"/>
                <w:lang w:val="nl-NL"/>
              </w:rPr>
              <w:t xml:space="preserve"> van het akkoord</w:t>
            </w:r>
            <w:r w:rsidR="00FF120E" w:rsidRPr="00026A3B">
              <w:rPr>
                <w:rFonts w:ascii="Arial" w:eastAsia="Times New Roman" w:hAnsi="Arial" w:cs="Arial"/>
                <w:lang w:val="nl-NL"/>
              </w:rPr>
              <w:t>.</w:t>
            </w:r>
          </w:p>
        </w:tc>
      </w:tr>
      <w:tr w:rsidR="00477C89" w:rsidRPr="00A827F1" w14:paraId="5C255A04" w14:textId="77777777" w:rsidTr="005F50EE">
        <w:tc>
          <w:tcPr>
            <w:tcW w:w="5104" w:type="dxa"/>
          </w:tcPr>
          <w:p w14:paraId="70A067C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4B919F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C3DEDFE" w14:textId="77777777" w:rsidTr="005F50EE">
        <w:tc>
          <w:tcPr>
            <w:tcW w:w="5104" w:type="dxa"/>
          </w:tcPr>
          <w:p w14:paraId="4D2A8516" w14:textId="4FB9D51E"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Les documents établis par le Comité de l’assurance ou le Ministre courent jusqu’à la fin de l’année civile au cours de laquelle ils sont établis.</w:t>
            </w:r>
          </w:p>
        </w:tc>
        <w:tc>
          <w:tcPr>
            <w:tcW w:w="5104" w:type="dxa"/>
          </w:tcPr>
          <w:p w14:paraId="73407E65" w14:textId="273FA392"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De door het Verzekeringscomité of de Minister vastgestelde documenten lopen tot het einde van het kalenderjaar waarin ze worden vastgesteld.</w:t>
            </w:r>
          </w:p>
        </w:tc>
      </w:tr>
      <w:tr w:rsidR="00477C89" w:rsidRPr="00A827F1" w14:paraId="576AC351" w14:textId="77777777" w:rsidTr="005F50EE">
        <w:tc>
          <w:tcPr>
            <w:tcW w:w="5104" w:type="dxa"/>
          </w:tcPr>
          <w:p w14:paraId="46370B8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8C20C9D"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1896E21D" w14:textId="77777777" w:rsidTr="005F50EE">
        <w:tc>
          <w:tcPr>
            <w:tcW w:w="5104" w:type="dxa"/>
          </w:tcPr>
          <w:p w14:paraId="01AFD442" w14:textId="4DB0FFDF"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+26</w:t>
            </w:r>
          </w:p>
        </w:tc>
        <w:tc>
          <w:tcPr>
            <w:tcW w:w="5104" w:type="dxa"/>
          </w:tcPr>
          <w:p w14:paraId="516E8952" w14:textId="47801A2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+26</w:t>
            </w:r>
          </w:p>
        </w:tc>
      </w:tr>
      <w:tr w:rsidR="00477C89" w:rsidRPr="004722CA" w14:paraId="3714DD6A" w14:textId="77777777" w:rsidTr="005F50EE">
        <w:tc>
          <w:tcPr>
            <w:tcW w:w="5104" w:type="dxa"/>
          </w:tcPr>
          <w:p w14:paraId="35D3E3ED"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CDBCB59"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09DBFE9" w14:textId="77777777" w:rsidTr="005F50EE">
        <w:tc>
          <w:tcPr>
            <w:tcW w:w="5104" w:type="dxa"/>
          </w:tcPr>
          <w:p w14:paraId="3F675E7F" w14:textId="6064B2B2"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lastRenderedPageBreak/>
              <w:t xml:space="preserve">Cet article complète la loi coordonnée avec un article 51/3, dans lequel un statut est donné à la pratique existante qui consiste à modifier les conventions et les accords via des </w:t>
            </w:r>
            <w:r>
              <w:rPr>
                <w:rFonts w:ascii="Arial" w:eastAsia="Times New Roman" w:hAnsi="Arial" w:cs="Arial"/>
                <w:lang w:val="fr-FR"/>
              </w:rPr>
              <w:t>avenants</w:t>
            </w:r>
            <w:r w:rsidRPr="00D978FA">
              <w:rPr>
                <w:rFonts w:ascii="Arial" w:eastAsia="Times New Roman" w:hAnsi="Arial" w:cs="Arial"/>
                <w:lang w:val="fr-FR"/>
              </w:rPr>
              <w:t xml:space="preserve">. Les </w:t>
            </w:r>
            <w:r>
              <w:rPr>
                <w:rFonts w:ascii="Arial" w:eastAsia="Times New Roman" w:hAnsi="Arial" w:cs="Arial"/>
                <w:lang w:val="fr-FR"/>
              </w:rPr>
              <w:t>avenants</w:t>
            </w:r>
            <w:r w:rsidRPr="00D978FA">
              <w:rPr>
                <w:rFonts w:ascii="Arial" w:eastAsia="Times New Roman" w:hAnsi="Arial" w:cs="Arial"/>
                <w:lang w:val="fr-FR"/>
              </w:rPr>
              <w:t xml:space="preserve"> qui peuvent être conclus pendant la durée </w:t>
            </w:r>
            <w:r>
              <w:rPr>
                <w:rFonts w:ascii="Arial" w:eastAsia="Times New Roman" w:hAnsi="Arial" w:cs="Arial"/>
                <w:lang w:val="fr-FR"/>
              </w:rPr>
              <w:t xml:space="preserve">des </w:t>
            </w:r>
            <w:r w:rsidRPr="00D978FA">
              <w:rPr>
                <w:rFonts w:ascii="Arial" w:eastAsia="Times New Roman" w:hAnsi="Arial" w:cs="Arial"/>
                <w:lang w:val="fr-FR"/>
              </w:rPr>
              <w:t>accords suivent le même trajet que les accords. Elles doivent donc également être approuvées par le Comité de l’assurance</w:t>
            </w:r>
            <w:r w:rsidR="00B66D7D">
              <w:rPr>
                <w:rFonts w:ascii="Arial" w:eastAsia="Times New Roman" w:hAnsi="Arial" w:cs="Arial"/>
                <w:lang w:val="fr-FR"/>
              </w:rPr>
              <w:t>,</w:t>
            </w:r>
            <w:r w:rsidRPr="00D978FA">
              <w:rPr>
                <w:rFonts w:ascii="Arial" w:eastAsia="Times New Roman" w:hAnsi="Arial" w:cs="Arial"/>
                <w:lang w:val="fr-FR"/>
              </w:rPr>
              <w:t xml:space="preserve"> le Conseil général, qui décide si </w:t>
            </w:r>
            <w:r>
              <w:rPr>
                <w:rFonts w:ascii="Arial" w:eastAsia="Times New Roman" w:hAnsi="Arial" w:cs="Arial"/>
                <w:lang w:val="fr-FR"/>
              </w:rPr>
              <w:t>l’avenant</w:t>
            </w:r>
            <w:r w:rsidRPr="00D978FA">
              <w:rPr>
                <w:rFonts w:ascii="Arial" w:eastAsia="Times New Roman" w:hAnsi="Arial" w:cs="Arial"/>
                <w:lang w:val="fr-FR"/>
              </w:rPr>
              <w:t xml:space="preserve"> est conforme avec le budget</w:t>
            </w:r>
            <w:r w:rsidR="00B66D7D">
              <w:rPr>
                <w:rFonts w:ascii="Arial" w:eastAsia="Times New Roman" w:hAnsi="Arial" w:cs="Arial"/>
                <w:lang w:val="fr-FR"/>
              </w:rPr>
              <w:t>, et le Conseil des ministres</w:t>
            </w:r>
            <w:r w:rsidRPr="00D978FA">
              <w:rPr>
                <w:rFonts w:ascii="Arial" w:eastAsia="Times New Roman" w:hAnsi="Arial" w:cs="Arial"/>
                <w:lang w:val="fr-FR"/>
              </w:rPr>
              <w:t>.</w:t>
            </w:r>
            <w:r w:rsidR="00A71985" w:rsidRPr="00A71985">
              <w:rPr>
                <w:lang w:val="fr-FR"/>
              </w:rPr>
              <w:t xml:space="preserve"> </w:t>
            </w:r>
            <w:r w:rsidR="00A71985" w:rsidRPr="00A71985">
              <w:rPr>
                <w:rFonts w:ascii="Arial" w:eastAsia="Times New Roman" w:hAnsi="Arial" w:cs="Arial"/>
                <w:lang w:val="fr-FR"/>
              </w:rPr>
              <w:t>Pour les avenants, contrairement à ce qui est prévu pour le renouvellement ou la prolongation des accords, aucun calendrier particulier n’est prévu. Ceux-ci peuvent donc toujours intervenir dans un accord en cours, pour autant qu’un accord soit atteint au sein de la commission d’accords concernée.</w:t>
            </w:r>
          </w:p>
          <w:p w14:paraId="680E0767" w14:textId="0BAC1F84"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7D3EE32A" w14:textId="12282EC8"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Dit artikel vult de gecoördineerde wet aan met een artikel 51/3, waarin een statuut wordt gegeven aan de bestaande praktijk om overeenkomsten en akkoorden te wijzigen via wijzigingsclausules. De wijzigingsclausules die kunnen worden gesloten tijdens de looptijd van akkoorden volgen hetzelfde traject als de akkoorden. Ze moeten dus eveneens worden goedgekeurd door het Verzekeringscomité</w:t>
            </w:r>
            <w:r w:rsidR="00B66D7D">
              <w:rPr>
                <w:rFonts w:ascii="Arial" w:eastAsia="Times New Roman" w:hAnsi="Arial" w:cs="Arial"/>
                <w:lang w:val="nl-NL"/>
              </w:rPr>
              <w:t>,</w:t>
            </w:r>
            <w:r w:rsidRPr="00EF1765">
              <w:rPr>
                <w:rFonts w:ascii="Arial" w:eastAsia="Times New Roman" w:hAnsi="Arial" w:cs="Arial"/>
                <w:lang w:val="nl-NL"/>
              </w:rPr>
              <w:t xml:space="preserve"> de Algemene raad, die beslist of de wijzigingsclausule in overeenstemming is met de begroting</w:t>
            </w:r>
            <w:r w:rsidR="00B66D7D">
              <w:rPr>
                <w:rFonts w:ascii="Arial" w:eastAsia="Times New Roman" w:hAnsi="Arial" w:cs="Arial"/>
                <w:lang w:val="nl-NL"/>
              </w:rPr>
              <w:t>, en de Ministerraad</w:t>
            </w:r>
            <w:r w:rsidRPr="00EF1765">
              <w:rPr>
                <w:rFonts w:ascii="Arial" w:eastAsia="Times New Roman" w:hAnsi="Arial" w:cs="Arial"/>
                <w:lang w:val="nl-NL"/>
              </w:rPr>
              <w:t xml:space="preserve">. </w:t>
            </w:r>
            <w:r w:rsidR="00CE635D" w:rsidRPr="00CE635D">
              <w:rPr>
                <w:rFonts w:ascii="Arial" w:eastAsia="Times New Roman" w:hAnsi="Arial" w:cs="Arial"/>
                <w:lang w:val="nl-NL"/>
              </w:rPr>
              <w:t>Voor wijzigingsclausules is, in tegenstelling tot wat is voorzien voor de vernieuwing of verlenging van akkoorden, geen bijzonder tijdsschema voorzien. Deze kunnen dus steeds tussenkomen in een lopend akkoord, voor zover daarover een akkoord wordt bereikt in de betrokken akkoordencommissie.</w:t>
            </w:r>
          </w:p>
        </w:tc>
      </w:tr>
      <w:tr w:rsidR="00477C89" w:rsidRPr="00A827F1" w14:paraId="1696DADA" w14:textId="77777777" w:rsidTr="005F50EE">
        <w:tc>
          <w:tcPr>
            <w:tcW w:w="5104" w:type="dxa"/>
          </w:tcPr>
          <w:p w14:paraId="6ED83F0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8F6292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B3382BC" w14:textId="77777777" w:rsidTr="005F50EE">
        <w:tc>
          <w:tcPr>
            <w:tcW w:w="5104" w:type="dxa"/>
          </w:tcPr>
          <w:p w14:paraId="506134E3" w14:textId="2A977983"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Après approbation par le </w:t>
            </w:r>
            <w:r w:rsidR="00B66D7D">
              <w:rPr>
                <w:rFonts w:ascii="Arial" w:eastAsia="Times New Roman" w:hAnsi="Arial" w:cs="Arial"/>
                <w:lang w:val="fr-FR"/>
              </w:rPr>
              <w:t>Conseil des ministres</w:t>
            </w:r>
            <w:r w:rsidRPr="00D978FA">
              <w:rPr>
                <w:rFonts w:ascii="Arial" w:eastAsia="Times New Roman" w:hAnsi="Arial" w:cs="Arial"/>
                <w:lang w:val="fr-FR"/>
              </w:rPr>
              <w:t xml:space="preserve">, les </w:t>
            </w:r>
            <w:r>
              <w:rPr>
                <w:rFonts w:ascii="Arial" w:eastAsia="Times New Roman" w:hAnsi="Arial" w:cs="Arial"/>
                <w:lang w:val="fr-FR"/>
              </w:rPr>
              <w:t>avenants</w:t>
            </w:r>
            <w:r w:rsidRPr="00D978FA">
              <w:rPr>
                <w:rFonts w:ascii="Arial" w:eastAsia="Times New Roman" w:hAnsi="Arial" w:cs="Arial"/>
                <w:lang w:val="fr-FR"/>
              </w:rPr>
              <w:t xml:space="preserve"> sont de la même manière que les accords communiqués aux dispensateurs de soins concernés. Les dispensateurs de soins concernés peuvent également, de la même manière que pour les accords, communiquer leur refus d’adhésion à </w:t>
            </w:r>
            <w:r>
              <w:rPr>
                <w:rFonts w:ascii="Arial" w:eastAsia="Times New Roman" w:hAnsi="Arial" w:cs="Arial"/>
                <w:lang w:val="fr-FR"/>
              </w:rPr>
              <w:t>l’avenant</w:t>
            </w:r>
            <w:r w:rsidRPr="00D978FA">
              <w:rPr>
                <w:rFonts w:ascii="Arial" w:eastAsia="Times New Roman" w:hAnsi="Arial" w:cs="Arial"/>
                <w:lang w:val="fr-FR"/>
              </w:rPr>
              <w:t>.</w:t>
            </w:r>
            <w:r w:rsidRPr="00D978FA">
              <w:rPr>
                <w:lang w:val="fr-FR"/>
              </w:rPr>
              <w:t xml:space="preserve"> </w:t>
            </w:r>
          </w:p>
        </w:tc>
        <w:tc>
          <w:tcPr>
            <w:tcW w:w="5104" w:type="dxa"/>
          </w:tcPr>
          <w:p w14:paraId="02DB7D2F" w14:textId="101D5BAD" w:rsidR="00477C89" w:rsidRPr="00EF1765"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Na goedkeuring door </w:t>
            </w:r>
            <w:r w:rsidR="00B66D7D">
              <w:rPr>
                <w:rFonts w:ascii="Arial" w:eastAsia="Times New Roman" w:hAnsi="Arial" w:cs="Arial"/>
                <w:lang w:val="nl-NL"/>
              </w:rPr>
              <w:t>de Ministerraad</w:t>
            </w:r>
            <w:r w:rsidRPr="00EF1765">
              <w:rPr>
                <w:rFonts w:ascii="Arial" w:eastAsia="Times New Roman" w:hAnsi="Arial" w:cs="Arial"/>
                <w:lang w:val="nl-NL"/>
              </w:rPr>
              <w:t xml:space="preserve"> worden de wijzigingsclausules op dezelfde wijze als de akkoorden meegedeeld aan de betrokken zorgverleners. De betrokken zorgverleners kunnen eveneens op dezelfde wijze als voor de akkoorden hun weigering van toetreding tot een wijzigingsclausule meedelen. </w:t>
            </w:r>
          </w:p>
          <w:p w14:paraId="3C36BE68" w14:textId="6813E5BF"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  </w:t>
            </w:r>
          </w:p>
        </w:tc>
      </w:tr>
      <w:tr w:rsidR="00477C89" w:rsidRPr="00A827F1" w14:paraId="145F50A5" w14:textId="77777777" w:rsidTr="005F50EE">
        <w:tc>
          <w:tcPr>
            <w:tcW w:w="5104" w:type="dxa"/>
          </w:tcPr>
          <w:p w14:paraId="42AF1F8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358E53E"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750DB415" w14:textId="77777777" w:rsidTr="005F50EE">
        <w:tc>
          <w:tcPr>
            <w:tcW w:w="5104" w:type="dxa"/>
          </w:tcPr>
          <w:p w14:paraId="6E5F3853" w14:textId="703CAC55" w:rsidR="00477C89" w:rsidRPr="00E417A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Pour qu'un </w:t>
            </w:r>
            <w:r>
              <w:rPr>
                <w:rFonts w:ascii="Arial" w:eastAsia="Times New Roman" w:hAnsi="Arial" w:cs="Arial"/>
                <w:lang w:val="fr-FR"/>
              </w:rPr>
              <w:t>avenant</w:t>
            </w:r>
            <w:r w:rsidRPr="00D978FA">
              <w:rPr>
                <w:rFonts w:ascii="Arial" w:eastAsia="Times New Roman" w:hAnsi="Arial" w:cs="Arial"/>
                <w:lang w:val="fr-FR"/>
              </w:rPr>
              <w:t xml:space="preserve"> puisse entrer en vigueur, il faut atteindre le même taux d'adhésion que pour les accords. Si le taux d'adhésion est atteint, l'accord entrera en vigueur sous une forme adaptée. Si le taux d'adhésion n'est pas atteint, l'accord reste d'application sans modification, c'est-à-dire sans les adaptations proposées par </w:t>
            </w:r>
            <w:r>
              <w:rPr>
                <w:rFonts w:ascii="Arial" w:eastAsia="Times New Roman" w:hAnsi="Arial" w:cs="Arial"/>
                <w:lang w:val="fr-FR"/>
              </w:rPr>
              <w:t>l’avenant</w:t>
            </w:r>
            <w:r w:rsidRPr="00D978FA">
              <w:rPr>
                <w:rFonts w:ascii="Arial" w:eastAsia="Times New Roman" w:hAnsi="Arial" w:cs="Arial"/>
                <w:lang w:val="fr-FR"/>
              </w:rPr>
              <w:t xml:space="preserve">, et les dispensateurs de soins conservent le statut de conventionnement qu'ils avaient avant </w:t>
            </w:r>
            <w:r>
              <w:rPr>
                <w:rFonts w:ascii="Arial" w:eastAsia="Times New Roman" w:hAnsi="Arial" w:cs="Arial"/>
                <w:lang w:val="fr-FR"/>
              </w:rPr>
              <w:t>l’avenant</w:t>
            </w:r>
            <w:r w:rsidRPr="00D978FA">
              <w:rPr>
                <w:rFonts w:ascii="Arial" w:eastAsia="Times New Roman" w:hAnsi="Arial" w:cs="Arial"/>
                <w:lang w:val="fr-FR"/>
              </w:rPr>
              <w:t>.</w:t>
            </w:r>
          </w:p>
        </w:tc>
        <w:tc>
          <w:tcPr>
            <w:tcW w:w="5104" w:type="dxa"/>
          </w:tcPr>
          <w:p w14:paraId="5600BADE" w14:textId="301E8513"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Opdat een wijzigingsclausule in werking kan treden moet hetzelfde toetredingspercentage worden bereikt als voor de akkoorden.  Indien het toetredingspercentage wordt bereikt, zal het akkoord in aangepaste vorm in werking treden. Als het toetredingspercentage niet wordt bereikt, blijft het akkoord ongewijzigd van toepassing, d.w.z. zonder de aanpassingen die worden voorgesteld door de wijzigingsclausule,  en behouden de zorgverleners het conventiestatuut dat ze hadden vóór de wijzigingsclausule.</w:t>
            </w:r>
          </w:p>
        </w:tc>
      </w:tr>
      <w:tr w:rsidR="00477C89" w:rsidRPr="00A827F1" w14:paraId="394A9331" w14:textId="77777777" w:rsidTr="005F50EE">
        <w:tc>
          <w:tcPr>
            <w:tcW w:w="5104" w:type="dxa"/>
          </w:tcPr>
          <w:p w14:paraId="222B2FC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DD5AC9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49BA731" w14:textId="77777777" w:rsidTr="005F50EE">
        <w:tc>
          <w:tcPr>
            <w:tcW w:w="5104" w:type="dxa"/>
          </w:tcPr>
          <w:p w14:paraId="047B79D9" w14:textId="587E8749"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Les possibilités pour les dispensateurs de soins se traduisent alors comme suit : </w:t>
            </w:r>
          </w:p>
        </w:tc>
        <w:tc>
          <w:tcPr>
            <w:tcW w:w="5104" w:type="dxa"/>
          </w:tcPr>
          <w:p w14:paraId="0FFE29F0" w14:textId="0D44D1C9"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De mogelijkheden voor de zorgverleners vertalen zich dan als volgt:</w:t>
            </w:r>
          </w:p>
        </w:tc>
      </w:tr>
      <w:tr w:rsidR="00477C89" w:rsidRPr="00A827F1" w14:paraId="022C3998" w14:textId="77777777" w:rsidTr="005F50EE">
        <w:tc>
          <w:tcPr>
            <w:tcW w:w="5104" w:type="dxa"/>
          </w:tcPr>
          <w:p w14:paraId="0269D5D3"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13CBD05"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5076AD92" w14:textId="77777777" w:rsidTr="005F50EE">
        <w:tc>
          <w:tcPr>
            <w:tcW w:w="5104" w:type="dxa"/>
          </w:tcPr>
          <w:p w14:paraId="74F4F3C8" w14:textId="627A5CBC" w:rsidR="00477C89" w:rsidRPr="009B50C8"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9B50C8">
              <w:rPr>
                <w:rFonts w:ascii="Arial" w:eastAsia="Times New Roman" w:hAnsi="Arial" w:cs="Arial"/>
                <w:lang w:val="fr-FR"/>
              </w:rPr>
              <w:t xml:space="preserve">Les dispensateurs de soins conventionnés qui ont notifié leur souhait de ne pas adhérer à l’accord avec </w:t>
            </w:r>
            <w:r>
              <w:rPr>
                <w:rFonts w:ascii="Arial" w:eastAsia="Times New Roman" w:hAnsi="Arial" w:cs="Arial"/>
                <w:lang w:val="fr-FR"/>
              </w:rPr>
              <w:t>l’avenant</w:t>
            </w:r>
            <w:r w:rsidRPr="009B50C8">
              <w:rPr>
                <w:rFonts w:ascii="Arial" w:eastAsia="Times New Roman" w:hAnsi="Arial" w:cs="Arial"/>
                <w:lang w:val="fr-FR"/>
              </w:rPr>
              <w:t xml:space="preserve">, ne seront plus conventionnés si l’accord modifié avec </w:t>
            </w:r>
            <w:r>
              <w:rPr>
                <w:rFonts w:ascii="Arial" w:eastAsia="Times New Roman" w:hAnsi="Arial" w:cs="Arial"/>
                <w:lang w:val="fr-FR"/>
              </w:rPr>
              <w:t>l’avenant</w:t>
            </w:r>
            <w:r w:rsidRPr="009B50C8">
              <w:rPr>
                <w:rFonts w:ascii="Arial" w:eastAsia="Times New Roman" w:hAnsi="Arial" w:cs="Arial"/>
                <w:lang w:val="fr-FR"/>
              </w:rPr>
              <w:t xml:space="preserve"> entre en vigueur ;</w:t>
            </w:r>
          </w:p>
        </w:tc>
        <w:tc>
          <w:tcPr>
            <w:tcW w:w="5104" w:type="dxa"/>
          </w:tcPr>
          <w:p w14:paraId="74392CC0" w14:textId="5E7AEB37"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EF1765">
              <w:rPr>
                <w:rFonts w:ascii="Arial" w:eastAsia="Times New Roman" w:hAnsi="Arial" w:cs="Arial"/>
                <w:lang w:val="nl-NL"/>
              </w:rPr>
              <w:t xml:space="preserve">De geconventioneerde zorgverleners die hebben genotificeerd  niet te wensen toe te treden tot het akkoord mét wijzigingsclausule, zullen niet langer geconventioneerd zijn indien </w:t>
            </w:r>
            <w:r>
              <w:rPr>
                <w:rFonts w:ascii="Arial" w:eastAsia="Times New Roman" w:hAnsi="Arial" w:cs="Arial"/>
                <w:lang w:val="nl-NL"/>
              </w:rPr>
              <w:t>het</w:t>
            </w:r>
            <w:r w:rsidRPr="00EF1765">
              <w:rPr>
                <w:rFonts w:ascii="Arial" w:eastAsia="Times New Roman" w:hAnsi="Arial" w:cs="Arial"/>
                <w:lang w:val="nl-NL"/>
              </w:rPr>
              <w:t xml:space="preserve"> aangepaste akkoord mét wijzigingsclausule in werking zou treden;</w:t>
            </w:r>
          </w:p>
        </w:tc>
      </w:tr>
      <w:tr w:rsidR="00477C89" w:rsidRPr="00A827F1" w14:paraId="6952D840" w14:textId="77777777" w:rsidTr="005F50EE">
        <w:tc>
          <w:tcPr>
            <w:tcW w:w="5104" w:type="dxa"/>
          </w:tcPr>
          <w:p w14:paraId="73EDA29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E82570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5FD7FF9" w14:textId="77777777" w:rsidTr="005F50EE">
        <w:tc>
          <w:tcPr>
            <w:tcW w:w="5104" w:type="dxa"/>
          </w:tcPr>
          <w:p w14:paraId="2FFF5C44" w14:textId="706CEECE" w:rsidR="00477C89" w:rsidRPr="009B50C8"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9B50C8">
              <w:rPr>
                <w:rFonts w:ascii="Arial" w:eastAsia="Times New Roman" w:hAnsi="Arial" w:cs="Arial"/>
                <w:lang w:val="fr-FR"/>
              </w:rPr>
              <w:lastRenderedPageBreak/>
              <w:t xml:space="preserve">Les dispensateurs de soins conventionnés qui ont notifié leur souhait de ne pas adhérer à l'accord avec </w:t>
            </w:r>
            <w:r>
              <w:rPr>
                <w:rFonts w:ascii="Arial" w:eastAsia="Times New Roman" w:hAnsi="Arial" w:cs="Arial"/>
                <w:lang w:val="fr-FR"/>
              </w:rPr>
              <w:t>l’avenant</w:t>
            </w:r>
            <w:r w:rsidRPr="009B50C8">
              <w:rPr>
                <w:rFonts w:ascii="Arial" w:eastAsia="Times New Roman" w:hAnsi="Arial" w:cs="Arial"/>
                <w:lang w:val="fr-FR"/>
              </w:rPr>
              <w:t xml:space="preserve">, resteront conventionnés si </w:t>
            </w:r>
            <w:r>
              <w:rPr>
                <w:rFonts w:ascii="Arial" w:eastAsia="Times New Roman" w:hAnsi="Arial" w:cs="Arial"/>
                <w:lang w:val="fr-FR"/>
              </w:rPr>
              <w:t>l’avenant</w:t>
            </w:r>
            <w:r w:rsidRPr="009B50C8">
              <w:rPr>
                <w:rFonts w:ascii="Arial" w:eastAsia="Times New Roman" w:hAnsi="Arial" w:cs="Arial"/>
                <w:lang w:val="fr-FR"/>
              </w:rPr>
              <w:t xml:space="preserve"> n'entre finalement pas en vigueur et si l'accord continue ainsi à produire son contenu initial ;</w:t>
            </w:r>
          </w:p>
        </w:tc>
        <w:tc>
          <w:tcPr>
            <w:tcW w:w="5104" w:type="dxa"/>
          </w:tcPr>
          <w:p w14:paraId="7283666E" w14:textId="6B93F825"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EF1765">
              <w:rPr>
                <w:rFonts w:ascii="Arial" w:eastAsia="Times New Roman" w:hAnsi="Arial" w:cs="Arial"/>
                <w:lang w:val="nl-NL"/>
              </w:rPr>
              <w:t xml:space="preserve">De geconventioneerde zorgverleners die hebben genotificeerd niet te wensen toe te treden tot het akkoord mét wijzigingsclausule, zullen geconventioneerd blijven indien de wijzigingsclausule uiteindelijk niet in werking zou treden </w:t>
            </w:r>
            <w:r>
              <w:rPr>
                <w:rFonts w:ascii="Arial" w:eastAsia="Times New Roman" w:hAnsi="Arial" w:cs="Arial"/>
                <w:lang w:val="nl-NL"/>
              </w:rPr>
              <w:t xml:space="preserve">en </w:t>
            </w:r>
            <w:r w:rsidRPr="00EF1765">
              <w:rPr>
                <w:rFonts w:ascii="Arial" w:eastAsia="Times New Roman" w:hAnsi="Arial" w:cs="Arial"/>
                <w:lang w:val="nl-NL"/>
              </w:rPr>
              <w:t>het akkoord aldus met oorspronkelijke inhoud verder zou doorlopen;</w:t>
            </w:r>
          </w:p>
        </w:tc>
      </w:tr>
      <w:tr w:rsidR="00477C89" w:rsidRPr="00A827F1" w14:paraId="7E6B8CBB" w14:textId="77777777" w:rsidTr="005F50EE">
        <w:tc>
          <w:tcPr>
            <w:tcW w:w="5104" w:type="dxa"/>
          </w:tcPr>
          <w:p w14:paraId="5923509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AD7A897"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5A81B26" w14:textId="77777777" w:rsidTr="005F50EE">
        <w:tc>
          <w:tcPr>
            <w:tcW w:w="5104" w:type="dxa"/>
          </w:tcPr>
          <w:p w14:paraId="1709D453" w14:textId="036A0DD5" w:rsidR="00477C89" w:rsidRPr="00D978FA"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D978FA">
              <w:rPr>
                <w:rFonts w:ascii="Arial" w:eastAsia="Times New Roman" w:hAnsi="Arial" w:cs="Arial"/>
                <w:lang w:val="fr-FR"/>
              </w:rPr>
              <w:t xml:space="preserve">Les dispensateurs de soins conventionnés qui n’ont pas réagi pendant la période de notification continueront à être conventionnés et ce, en adhérant à l’accord modifié si </w:t>
            </w:r>
            <w:r>
              <w:rPr>
                <w:rFonts w:ascii="Arial" w:eastAsia="Times New Roman" w:hAnsi="Arial" w:cs="Arial"/>
                <w:lang w:val="fr-FR"/>
              </w:rPr>
              <w:t>l’avenant</w:t>
            </w:r>
            <w:r w:rsidRPr="00D978FA">
              <w:rPr>
                <w:rFonts w:ascii="Arial" w:eastAsia="Times New Roman" w:hAnsi="Arial" w:cs="Arial"/>
                <w:lang w:val="fr-FR"/>
              </w:rPr>
              <w:t xml:space="preserve"> entre en vigueur ;</w:t>
            </w:r>
          </w:p>
        </w:tc>
        <w:tc>
          <w:tcPr>
            <w:tcW w:w="5104" w:type="dxa"/>
          </w:tcPr>
          <w:p w14:paraId="6F233B55" w14:textId="47BCB255"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EF1765">
              <w:rPr>
                <w:rFonts w:ascii="Arial" w:eastAsia="Times New Roman" w:hAnsi="Arial" w:cs="Arial"/>
                <w:lang w:val="nl-NL"/>
              </w:rPr>
              <w:t xml:space="preserve">De geconventioneerde zorgverleners die niet reageerden tijdens de notificatieperiode zullen verder geconventioneerd blijven, en zulks onder toetreding tot </w:t>
            </w:r>
            <w:r>
              <w:rPr>
                <w:rFonts w:ascii="Arial" w:eastAsia="Times New Roman" w:hAnsi="Arial" w:cs="Arial"/>
                <w:lang w:val="nl-NL"/>
              </w:rPr>
              <w:t>het</w:t>
            </w:r>
            <w:r w:rsidRPr="00EF1765">
              <w:rPr>
                <w:rFonts w:ascii="Arial" w:eastAsia="Times New Roman" w:hAnsi="Arial" w:cs="Arial"/>
                <w:lang w:val="nl-NL"/>
              </w:rPr>
              <w:t xml:space="preserve"> aangepaste akkoord indien de wijzigingsclausule in werking zou treden;</w:t>
            </w:r>
          </w:p>
        </w:tc>
      </w:tr>
      <w:tr w:rsidR="00477C89" w:rsidRPr="00A827F1" w14:paraId="1B1D1C14" w14:textId="77777777" w:rsidTr="005F50EE">
        <w:tc>
          <w:tcPr>
            <w:tcW w:w="5104" w:type="dxa"/>
          </w:tcPr>
          <w:p w14:paraId="0D26509B"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1EF0EF2"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95A043F" w14:textId="77777777" w:rsidTr="005F50EE">
        <w:tc>
          <w:tcPr>
            <w:tcW w:w="5104" w:type="dxa"/>
          </w:tcPr>
          <w:p w14:paraId="500E064B" w14:textId="796B1C4B" w:rsidR="00477C89" w:rsidRPr="00D978FA"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D978FA">
              <w:rPr>
                <w:rFonts w:ascii="Arial" w:eastAsia="Times New Roman" w:hAnsi="Arial" w:cs="Arial"/>
                <w:lang w:val="fr-FR"/>
              </w:rPr>
              <w:t xml:space="preserve">Les dispensateurs de soins conventionnés qui n’ont pas réagi pendant la période de notification continueront à être conventionnés et ce, dans le cadre de l’accord dans sa forme originale si, le cas échéant, </w:t>
            </w:r>
            <w:r>
              <w:rPr>
                <w:rFonts w:ascii="Arial" w:eastAsia="Times New Roman" w:hAnsi="Arial" w:cs="Arial"/>
                <w:lang w:val="fr-FR"/>
              </w:rPr>
              <w:t>l’avenant</w:t>
            </w:r>
            <w:r w:rsidRPr="00D978FA">
              <w:rPr>
                <w:rFonts w:ascii="Arial" w:eastAsia="Times New Roman" w:hAnsi="Arial" w:cs="Arial"/>
                <w:lang w:val="fr-FR"/>
              </w:rPr>
              <w:t xml:space="preserve"> proposé n’</w:t>
            </w:r>
            <w:r>
              <w:rPr>
                <w:rFonts w:ascii="Arial" w:eastAsia="Times New Roman" w:hAnsi="Arial" w:cs="Arial"/>
                <w:lang w:val="fr-FR"/>
              </w:rPr>
              <w:t>obtenait</w:t>
            </w:r>
            <w:r w:rsidRPr="00D978FA">
              <w:rPr>
                <w:rFonts w:ascii="Arial" w:eastAsia="Times New Roman" w:hAnsi="Arial" w:cs="Arial"/>
                <w:lang w:val="fr-FR"/>
              </w:rPr>
              <w:t xml:space="preserve"> pas les pourcentages </w:t>
            </w:r>
            <w:r>
              <w:rPr>
                <w:rFonts w:ascii="Arial" w:eastAsia="Times New Roman" w:hAnsi="Arial" w:cs="Arial"/>
                <w:lang w:val="fr-FR"/>
              </w:rPr>
              <w:t xml:space="preserve">d’adhésion </w:t>
            </w:r>
            <w:r w:rsidRPr="00D978FA">
              <w:rPr>
                <w:rFonts w:ascii="Arial" w:eastAsia="Times New Roman" w:hAnsi="Arial" w:cs="Arial"/>
                <w:lang w:val="fr-FR"/>
              </w:rPr>
              <w:t>requis et n’entrait pas en vigueur ;</w:t>
            </w:r>
          </w:p>
        </w:tc>
        <w:tc>
          <w:tcPr>
            <w:tcW w:w="5104" w:type="dxa"/>
          </w:tcPr>
          <w:p w14:paraId="45145DA9" w14:textId="1D29628F"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EF1765">
              <w:rPr>
                <w:rFonts w:ascii="Arial" w:eastAsia="Times New Roman" w:hAnsi="Arial" w:cs="Arial"/>
                <w:lang w:val="nl-NL"/>
              </w:rPr>
              <w:t>De geconventioneerde zorgverleners die niet reageerden tijdens de notificatieperiode zullen verder geconventioneerd blijven, en zulks verder onder het akkoord in zijn oorspronkelijke vorm wanneer in voorkomend geval de voorgestelde wijzigingsclausule niet de vereiste percentages naar instemming zou krijgen en aldus niet in werking zou treden;</w:t>
            </w:r>
          </w:p>
        </w:tc>
      </w:tr>
      <w:tr w:rsidR="00477C89" w:rsidRPr="00A827F1" w14:paraId="698080B0" w14:textId="77777777" w:rsidTr="005F50EE">
        <w:tc>
          <w:tcPr>
            <w:tcW w:w="5104" w:type="dxa"/>
          </w:tcPr>
          <w:p w14:paraId="4D61B549"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874878A"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58B66AA" w14:textId="77777777" w:rsidTr="005F50EE">
        <w:tc>
          <w:tcPr>
            <w:tcW w:w="5104" w:type="dxa"/>
          </w:tcPr>
          <w:p w14:paraId="030130FF" w14:textId="243BF92D" w:rsidR="00477C89" w:rsidRPr="00D978FA"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D978FA">
              <w:rPr>
                <w:rFonts w:ascii="Arial" w:eastAsia="Times New Roman" w:hAnsi="Arial" w:cs="Arial"/>
                <w:lang w:val="fr-FR"/>
              </w:rPr>
              <w:t xml:space="preserve">Les dispensateurs de soins qui n’étaient pas conventionnés auparavant dans le cadre du texte initial </w:t>
            </w:r>
            <w:r w:rsidRPr="009B50C8">
              <w:rPr>
                <w:rFonts w:ascii="Arial" w:eastAsia="Times New Roman" w:hAnsi="Arial" w:cs="Arial"/>
                <w:lang w:val="fr-FR"/>
              </w:rPr>
              <w:t>de</w:t>
            </w:r>
            <w:r w:rsidRPr="00D978FA">
              <w:rPr>
                <w:rFonts w:ascii="Arial" w:eastAsia="Times New Roman" w:hAnsi="Arial" w:cs="Arial"/>
                <w:lang w:val="fr-FR"/>
              </w:rPr>
              <w:t xml:space="preserve"> l’accord doivent cependant avoir la possibilité de se conventionner si </w:t>
            </w:r>
            <w:r>
              <w:rPr>
                <w:rFonts w:ascii="Arial" w:eastAsia="Times New Roman" w:hAnsi="Arial" w:cs="Arial"/>
                <w:lang w:val="fr-FR"/>
              </w:rPr>
              <w:t>l’avenant</w:t>
            </w:r>
            <w:r w:rsidRPr="00D978FA">
              <w:rPr>
                <w:rFonts w:ascii="Arial" w:eastAsia="Times New Roman" w:hAnsi="Arial" w:cs="Arial"/>
                <w:lang w:val="fr-FR"/>
              </w:rPr>
              <w:t xml:space="preserve"> lève l’obstacle lié à leur déconventionnement. Conformément à l'économie générale du système, s'ils n'ont rien notifié pendant la période de notification, ils seront désormais conventionnés dès que </w:t>
            </w:r>
            <w:r>
              <w:rPr>
                <w:rFonts w:ascii="Arial" w:eastAsia="Times New Roman" w:hAnsi="Arial" w:cs="Arial"/>
                <w:lang w:val="fr-FR"/>
              </w:rPr>
              <w:t>l’avenant</w:t>
            </w:r>
            <w:r w:rsidRPr="00D978FA">
              <w:rPr>
                <w:rFonts w:ascii="Arial" w:eastAsia="Times New Roman" w:hAnsi="Arial" w:cs="Arial"/>
                <w:lang w:val="fr-FR"/>
              </w:rPr>
              <w:t xml:space="preserve"> entrera en vigueur après le processus d'adhésion, et donc à partir de ce moment-là et par rapport au nouveau texte de l'accord</w:t>
            </w:r>
            <w:r>
              <w:rPr>
                <w:rFonts w:ascii="Arial" w:eastAsia="Times New Roman" w:hAnsi="Arial" w:cs="Arial"/>
                <w:lang w:val="fr-FR"/>
              </w:rPr>
              <w:t> </w:t>
            </w:r>
            <w:r w:rsidRPr="00D978FA">
              <w:rPr>
                <w:rFonts w:ascii="Arial" w:eastAsia="Times New Roman" w:hAnsi="Arial" w:cs="Arial"/>
                <w:lang w:val="fr-FR"/>
              </w:rPr>
              <w:t>;</w:t>
            </w:r>
          </w:p>
        </w:tc>
        <w:tc>
          <w:tcPr>
            <w:tcW w:w="5104" w:type="dxa"/>
          </w:tcPr>
          <w:p w14:paraId="5FC14BF2" w14:textId="2577C62C" w:rsidR="00477C89" w:rsidRPr="00EF1765"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EF1765">
              <w:rPr>
                <w:rFonts w:ascii="Arial" w:eastAsia="Times New Roman" w:hAnsi="Arial" w:cs="Arial"/>
                <w:lang w:val="nl-NL"/>
              </w:rPr>
              <w:t>De zorgverleners die eerder niet geconventioneerd waren ten overstaan van de oorspronkelijke tekst van het akkoord moeten echter de mogelijkheid hebben om zich te conventioneren als de wijzigingsclausle het obstakel voor hun conventionering wegneemt. Overeenkomstig het algemeen opzet van het systeem zullen ze, als ze tijdens de notificatieperiode niets hebben gemeld, nu alsnog geconventioneerd worden zodra de wijzigingsclausule na het toetredingsproces in werking zal treden, en dus vanaf dan en ten overstaan van de nieuwe tekst van het akkoord;</w:t>
            </w:r>
          </w:p>
        </w:tc>
      </w:tr>
      <w:tr w:rsidR="00477C89" w:rsidRPr="00A827F1" w14:paraId="1B99AB48" w14:textId="77777777" w:rsidTr="005F50EE">
        <w:tc>
          <w:tcPr>
            <w:tcW w:w="5104" w:type="dxa"/>
          </w:tcPr>
          <w:p w14:paraId="1FEE39AA"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126E13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B0631DF" w14:textId="77777777" w:rsidTr="005F50EE">
        <w:tc>
          <w:tcPr>
            <w:tcW w:w="5104" w:type="dxa"/>
          </w:tcPr>
          <w:p w14:paraId="6ECD5EAA" w14:textId="1E3C89F1" w:rsidR="00477C89" w:rsidRPr="00D978FA"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fr-FR"/>
              </w:rPr>
            </w:pPr>
            <w:r w:rsidRPr="00D978FA">
              <w:rPr>
                <w:rFonts w:ascii="Arial" w:eastAsia="Times New Roman" w:hAnsi="Arial" w:cs="Arial"/>
                <w:lang w:val="fr-FR"/>
              </w:rPr>
              <w:t xml:space="preserve">Les dispensateurs de soins qui n’étaient pas conventionnés auparavant dans le cadre du texte initial de l’accord et qui ont indiqué pendant la période de notification qu’ils ne souhaitent pas être conventionnés de manière permanente et n’acceptent donc pas </w:t>
            </w:r>
            <w:r>
              <w:rPr>
                <w:rFonts w:ascii="Arial" w:eastAsia="Times New Roman" w:hAnsi="Arial" w:cs="Arial"/>
                <w:lang w:val="fr-FR"/>
              </w:rPr>
              <w:t>l’avenant</w:t>
            </w:r>
            <w:r w:rsidRPr="00D978FA">
              <w:rPr>
                <w:rFonts w:ascii="Arial" w:eastAsia="Times New Roman" w:hAnsi="Arial" w:cs="Arial"/>
                <w:lang w:val="fr-FR"/>
              </w:rPr>
              <w:t xml:space="preserve"> tout court, continueront à être libres, indépendamment du fait que </w:t>
            </w:r>
            <w:r>
              <w:rPr>
                <w:rFonts w:ascii="Arial" w:eastAsia="Times New Roman" w:hAnsi="Arial" w:cs="Arial"/>
                <w:lang w:val="fr-FR"/>
              </w:rPr>
              <w:t>l’avenant</w:t>
            </w:r>
            <w:r w:rsidRPr="00D978FA">
              <w:rPr>
                <w:rFonts w:ascii="Arial" w:eastAsia="Times New Roman" w:hAnsi="Arial" w:cs="Arial"/>
                <w:lang w:val="fr-FR"/>
              </w:rPr>
              <w:t xml:space="preserve"> entre en vigueur en fonction du pourcentage d’adhésion obtenu.</w:t>
            </w:r>
          </w:p>
        </w:tc>
        <w:tc>
          <w:tcPr>
            <w:tcW w:w="5104" w:type="dxa"/>
          </w:tcPr>
          <w:p w14:paraId="57B58D9A" w14:textId="1384A58B" w:rsidR="00477C89" w:rsidRPr="00DF4489" w:rsidRDefault="00477C89" w:rsidP="00477C89">
            <w:pPr>
              <w:pStyle w:val="Lijstalinea"/>
              <w:numPr>
                <w:ilvl w:val="0"/>
                <w:numId w:val="3"/>
              </w:numPr>
              <w:spacing w:after="0" w:line="240" w:lineRule="auto"/>
              <w:ind w:left="392" w:hanging="284"/>
              <w:jc w:val="both"/>
              <w:outlineLvl w:val="0"/>
              <w:rPr>
                <w:rFonts w:ascii="Arial" w:eastAsia="Times New Roman" w:hAnsi="Arial" w:cs="Arial"/>
                <w:lang w:val="nl-NL"/>
              </w:rPr>
            </w:pPr>
            <w:r w:rsidRPr="00EF1765">
              <w:rPr>
                <w:rFonts w:ascii="Arial" w:eastAsia="Times New Roman" w:hAnsi="Arial" w:cs="Arial"/>
                <w:lang w:val="nl-NL"/>
              </w:rPr>
              <w:t>De zorgverleners die eerder niet geconventioneerd waren ten overstaan van de oorspronkelijke tekst van het akkoord en die tijdens de notificatieperiode wél hebben aangegeven dat ze doorlopend verder niet geconventioneerd willen zijn en aldus ook de wijzigingsclausule tout court niet accepteren,  zullen verder vrij zijn, ongeacht overigens of de wijzigingsclausule uiteindelijk in werk zal treden in functie van het bekomen toetredingspercentage.</w:t>
            </w:r>
          </w:p>
        </w:tc>
      </w:tr>
      <w:tr w:rsidR="00477C89" w:rsidRPr="00A827F1" w14:paraId="07682348" w14:textId="77777777" w:rsidTr="005F50EE">
        <w:tc>
          <w:tcPr>
            <w:tcW w:w="5104" w:type="dxa"/>
          </w:tcPr>
          <w:p w14:paraId="67B42B8D"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5F79DA9"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515C0E31" w14:textId="77777777" w:rsidTr="005F50EE">
        <w:tc>
          <w:tcPr>
            <w:tcW w:w="5104" w:type="dxa"/>
          </w:tcPr>
          <w:p w14:paraId="74EE1A41" w14:textId="3851C21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lastRenderedPageBreak/>
              <w:t>Art. X</w:t>
            </w:r>
            <w:r>
              <w:rPr>
                <w:rFonts w:ascii="Arial" w:hAnsi="Arial" w:cs="Arial"/>
                <w:b/>
                <w:bCs/>
                <w:lang w:val="nl-NL"/>
              </w:rPr>
              <w:t>+27</w:t>
            </w:r>
          </w:p>
        </w:tc>
        <w:tc>
          <w:tcPr>
            <w:tcW w:w="5104" w:type="dxa"/>
          </w:tcPr>
          <w:p w14:paraId="6D7234AF" w14:textId="3AAE2856"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+27</w:t>
            </w:r>
          </w:p>
        </w:tc>
      </w:tr>
      <w:tr w:rsidR="00477C89" w:rsidRPr="004722CA" w14:paraId="4C621B39" w14:textId="77777777" w:rsidTr="005F50EE">
        <w:tc>
          <w:tcPr>
            <w:tcW w:w="5104" w:type="dxa"/>
          </w:tcPr>
          <w:p w14:paraId="269DE779"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2C5E15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F646550" w14:textId="77777777" w:rsidTr="005F50EE">
        <w:tc>
          <w:tcPr>
            <w:tcW w:w="5104" w:type="dxa"/>
          </w:tcPr>
          <w:p w14:paraId="05E55AA9" w14:textId="62CF6FD4"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Cet article complète la loi coordonnée avec un article 51/4 qui détermine sous quelles conditions un accord peut être dénoncé. Le premier alinéa reprend la disposition de l’actuel article 51, § 9, qui prévoit une dénonciation par une partie ou par un dispensateur de soins individuel, si certaines mesures sont prises par le Roi ou le Conseil général entraînant une limitation des honoraires.</w:t>
            </w:r>
          </w:p>
          <w:p w14:paraId="6ABB2D06" w14:textId="63F17EE8"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29BB3EC9" w14:textId="4B0209E8"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Dit artikel vult de gecoördineerde wet aan met een artikel 51/4 dat bepaalt onder welke voorwaarden een akkoord kan worden opgezegd. Het eerste lid herneemt de bepalingen van het huidige artikel 51, § 9, dat voorziet in de opzegging door een partij of door een individuele zorgverlener, indien door de Koning of de Algemene raad bepaalde maatregelen worden genomen die leiden tot een beperking van de honoraria.  </w:t>
            </w:r>
          </w:p>
        </w:tc>
      </w:tr>
      <w:tr w:rsidR="00477C89" w:rsidRPr="00A827F1" w14:paraId="2772E0B2" w14:textId="77777777" w:rsidTr="005F50EE">
        <w:tc>
          <w:tcPr>
            <w:tcW w:w="5104" w:type="dxa"/>
          </w:tcPr>
          <w:p w14:paraId="1F8BBD54"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EEAF982" w14:textId="77777777" w:rsidR="00477C89" w:rsidRPr="00EF1765" w:rsidRDefault="00477C89" w:rsidP="00477C89">
            <w:pPr>
              <w:spacing w:after="0" w:line="240" w:lineRule="auto"/>
              <w:jc w:val="both"/>
              <w:outlineLvl w:val="0"/>
              <w:rPr>
                <w:rFonts w:ascii="Arial" w:eastAsia="Times New Roman" w:hAnsi="Arial" w:cs="Arial"/>
                <w:lang w:val="nl-NL"/>
              </w:rPr>
            </w:pPr>
          </w:p>
        </w:tc>
      </w:tr>
      <w:tr w:rsidR="00477C89" w:rsidRPr="00A827F1" w14:paraId="700E6904" w14:textId="77777777" w:rsidTr="005F50EE">
        <w:tc>
          <w:tcPr>
            <w:tcW w:w="5104" w:type="dxa"/>
          </w:tcPr>
          <w:p w14:paraId="0BD4446A" w14:textId="2842E6B8"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Il prévoit ensuite que les accords peuvent être dénoncés par un dispensateur de soins individuel sans justification. La dénonciation doit être faite avant le 1er décembre et, dans ce cas, s’applique à partir du 1er janvier de l’année calendrier suivante. Cette dénonciation doit être effectuée de la même manière qu’un dispensateur de soins doit communiquer son refus d’adhésion.</w:t>
            </w:r>
          </w:p>
        </w:tc>
        <w:tc>
          <w:tcPr>
            <w:tcW w:w="5104" w:type="dxa"/>
          </w:tcPr>
          <w:p w14:paraId="695153F2" w14:textId="2999E7BA" w:rsidR="00477C89" w:rsidRPr="00EF1765"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Vervolgens wordt voorzien dat de akkoorden door een individuele zorgverlener kunnen worden opgezegd zonder motivering. Die opzegging moet gebeuren voor 1 december en is in dat geval van toepassing vanaf 1 januari van het kalenderjaar dat volgt. Die opzegging dient te gebeuren op dezelfde wijze als een zorgverlener zijn weigering tot toetreding dient mee te delen.</w:t>
            </w:r>
          </w:p>
        </w:tc>
      </w:tr>
      <w:tr w:rsidR="00477C89" w:rsidRPr="00A827F1" w14:paraId="00EC83B2" w14:textId="77777777" w:rsidTr="005F50EE">
        <w:tc>
          <w:tcPr>
            <w:tcW w:w="5104" w:type="dxa"/>
          </w:tcPr>
          <w:p w14:paraId="496AD842"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2F73658" w14:textId="77777777" w:rsidR="00477C89" w:rsidRPr="00EF1765" w:rsidRDefault="00477C89" w:rsidP="00477C89">
            <w:pPr>
              <w:spacing w:after="0" w:line="240" w:lineRule="auto"/>
              <w:jc w:val="both"/>
              <w:outlineLvl w:val="0"/>
              <w:rPr>
                <w:rFonts w:ascii="Arial" w:eastAsia="Times New Roman" w:hAnsi="Arial" w:cs="Arial"/>
                <w:lang w:val="nl-NL"/>
              </w:rPr>
            </w:pPr>
          </w:p>
        </w:tc>
      </w:tr>
      <w:tr w:rsidR="00477C89" w:rsidRPr="00A827F1" w14:paraId="0FDFD795" w14:textId="77777777" w:rsidTr="005F50EE">
        <w:tc>
          <w:tcPr>
            <w:tcW w:w="5104" w:type="dxa"/>
          </w:tcPr>
          <w:p w14:paraId="20ECC0C2" w14:textId="0950515F" w:rsidR="00477C89" w:rsidRPr="00671DC6" w:rsidRDefault="00477C89" w:rsidP="009111A7">
            <w:pPr>
              <w:spacing w:after="0" w:line="240" w:lineRule="auto"/>
              <w:jc w:val="both"/>
              <w:outlineLvl w:val="0"/>
              <w:rPr>
                <w:rFonts w:ascii="Arial" w:eastAsia="Times New Roman" w:hAnsi="Arial" w:cs="Arial"/>
                <w:lang w:val="fr-FR"/>
              </w:rPr>
            </w:pPr>
            <w:r w:rsidRPr="00671DC6">
              <w:rPr>
                <w:rFonts w:ascii="Arial" w:eastAsia="Times New Roman" w:hAnsi="Arial" w:cs="Arial"/>
                <w:lang w:val="fr-FR"/>
              </w:rPr>
              <w:t>Outre les motifs de dénonciation prévus par ou en vertu de la loi, les accords peuvent également prévoir d’autres motifs de dénonciation.</w:t>
            </w:r>
            <w:r w:rsidR="007D025D" w:rsidRPr="00671DC6">
              <w:rPr>
                <w:lang w:val="fr-FR"/>
              </w:rPr>
              <w:t xml:space="preserve"> </w:t>
            </w:r>
            <w:r w:rsidR="007D025D" w:rsidRPr="00671DC6">
              <w:rPr>
                <w:rFonts w:ascii="Arial" w:eastAsia="Times New Roman" w:hAnsi="Arial" w:cs="Arial"/>
                <w:lang w:val="fr-FR"/>
              </w:rPr>
              <w:t xml:space="preserve">L’inscription de motifs complémentaires de dénonciation d’un accord requiert une majorité des trois quarts, tant des membres représentant les dispensateurs de soins que des membres représentant les organismes assureurs. </w:t>
            </w:r>
            <w:r w:rsidR="009111A7" w:rsidRPr="00671DC6">
              <w:rPr>
                <w:rFonts w:ascii="Arial" w:eastAsia="Times New Roman" w:hAnsi="Arial" w:cs="Arial"/>
                <w:lang w:val="fr-FR"/>
              </w:rPr>
              <w:t>Dans l’hypothèse où une réunion devrait être organisée de nouveau parce que ces quorums n’ont pas été atteints, un nouveau vote peut avoir lieu et l’inscription des mêmes motifs complémentaires de dénonciation dans l’accord requiert alors seulement une majorité ordinaire au sein de chacun des deux bancs.</w:t>
            </w:r>
          </w:p>
        </w:tc>
        <w:tc>
          <w:tcPr>
            <w:tcW w:w="5104" w:type="dxa"/>
          </w:tcPr>
          <w:p w14:paraId="35AB837B" w14:textId="79C57AF9" w:rsidR="00477C89" w:rsidRPr="00DF4489" w:rsidRDefault="00477C89" w:rsidP="00477C89">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t xml:space="preserve">Aanvullend aan de gronden voor opzegging die zijn voorzien door of krachtens de wet, kunnen de akkoorden ook andere gronden voor opzegging voorzien. </w:t>
            </w:r>
            <w:r w:rsidR="007D025D" w:rsidRPr="00671DC6">
              <w:rPr>
                <w:rFonts w:ascii="Arial" w:eastAsia="Times New Roman" w:hAnsi="Arial" w:cs="Arial"/>
                <w:lang w:val="nl-NL"/>
              </w:rPr>
              <w:t xml:space="preserve">De opname van aanvullende gronden voor opzegging van een akkoord vereist een drievierde meerderheid van zowel de leden die de zorgverleners vertegenwoordigen als de leden die de verzekeringsinstellingen vertegenwoordigen.  </w:t>
            </w:r>
            <w:r w:rsidR="009111A7" w:rsidRPr="00671DC6">
              <w:rPr>
                <w:rFonts w:ascii="Arial" w:eastAsia="Times New Roman" w:hAnsi="Arial" w:cs="Arial"/>
                <w:lang w:val="nl-NL"/>
              </w:rPr>
              <w:t>In de hypothese dat opnieuw een vergadering moet georganiseerd worden omdat deze quorums niet bereikt zijn, kan een nieuwe stemming gehouden worden en vereist de opname van dezelfde aanvullende gronden voor opzegging in het akkoord dan slechts een gewone meerderheid in elk van de twee banken.</w:t>
            </w:r>
          </w:p>
        </w:tc>
      </w:tr>
      <w:tr w:rsidR="00477C89" w:rsidRPr="00A827F1" w14:paraId="320613BA" w14:textId="77777777" w:rsidTr="005F50EE">
        <w:tc>
          <w:tcPr>
            <w:tcW w:w="5104" w:type="dxa"/>
          </w:tcPr>
          <w:p w14:paraId="195E371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E7322AD"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7912100" w14:textId="77777777" w:rsidTr="005F50EE">
        <w:tc>
          <w:tcPr>
            <w:tcW w:w="5104" w:type="dxa"/>
          </w:tcPr>
          <w:p w14:paraId="10532BF6" w14:textId="7BE08D07"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En ce qui concerne la dénonciation par une organisation représentative, la procédure de conciliation désormais prévue par l’Accord national médico-mutualiste est généralisée. L’organisation représentative qui estime qu’une mesure qui a été prise constitue un motif de dénonciation doit </w:t>
            </w:r>
            <w:r>
              <w:rPr>
                <w:rFonts w:ascii="Arial" w:eastAsia="Times New Roman" w:hAnsi="Arial" w:cs="Arial"/>
                <w:lang w:val="fr-FR"/>
              </w:rPr>
              <w:t>le communiquer par écrit</w:t>
            </w:r>
            <w:r w:rsidRPr="00D978FA">
              <w:rPr>
                <w:rFonts w:ascii="Arial" w:eastAsia="Times New Roman" w:hAnsi="Arial" w:cs="Arial"/>
                <w:lang w:val="fr-FR"/>
              </w:rPr>
              <w:t xml:space="preserve"> au président de la commission.</w:t>
            </w:r>
            <w:r>
              <w:rPr>
                <w:rFonts w:ascii="Arial" w:eastAsia="Times New Roman" w:hAnsi="Arial" w:cs="Arial"/>
                <w:lang w:val="fr-FR"/>
              </w:rPr>
              <w:t xml:space="preserve"> </w:t>
            </w:r>
            <w:r w:rsidRPr="00D978FA">
              <w:rPr>
                <w:rFonts w:ascii="Arial" w:eastAsia="Times New Roman" w:hAnsi="Arial" w:cs="Arial"/>
                <w:lang w:val="fr-FR"/>
              </w:rPr>
              <w:t xml:space="preserve">Le président convoque alors une réunion de la commission à laquelle le Ministre est invité. Pour que la dénonciation de l’accord soit effective, la majorité des représentants des organisations représentatives des dispensateurs de soins présents doit confirmer la dénonciation. L’accord prend alors fin de plein droit 30 jours après </w:t>
            </w:r>
            <w:r w:rsidRPr="00D978FA">
              <w:rPr>
                <w:rFonts w:ascii="Arial" w:eastAsia="Times New Roman" w:hAnsi="Arial" w:cs="Arial"/>
                <w:lang w:val="fr-FR"/>
              </w:rPr>
              <w:lastRenderedPageBreak/>
              <w:t>cette réunion.</w:t>
            </w:r>
            <w:r w:rsidRPr="00936805">
              <w:rPr>
                <w:lang w:val="fr-FR"/>
              </w:rPr>
              <w:t xml:space="preserve"> </w:t>
            </w:r>
            <w:r w:rsidRPr="00936805">
              <w:rPr>
                <w:rFonts w:ascii="Arial" w:eastAsia="Times New Roman" w:hAnsi="Arial" w:cs="Arial"/>
                <w:lang w:val="fr-FR"/>
              </w:rPr>
              <w:t>Après la dénonciation d’un accord, un nouvel accord peut toujours être conclu au cours de l’année.</w:t>
            </w:r>
          </w:p>
        </w:tc>
        <w:tc>
          <w:tcPr>
            <w:tcW w:w="5104" w:type="dxa"/>
          </w:tcPr>
          <w:p w14:paraId="61CA439F" w14:textId="1C3B1EEC"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lastRenderedPageBreak/>
              <w:t xml:space="preserve">Wat de opzegging door een representatieve organisatie betreft, wordt de verzoeningsprocedure die nu is voorzien in het Nationaal akkoord artsen-ziekenfondsen veralgemeend.  De representatieve organisatie die meent dat er een maatregel is genomen die grond is voor opzegging dient </w:t>
            </w:r>
            <w:r>
              <w:rPr>
                <w:rFonts w:ascii="Arial" w:eastAsia="Times New Roman" w:hAnsi="Arial" w:cs="Arial"/>
                <w:lang w:val="nl-NL"/>
              </w:rPr>
              <w:t>dit schriftelijk mee te delen aan</w:t>
            </w:r>
            <w:r w:rsidRPr="00EF1765">
              <w:rPr>
                <w:rFonts w:ascii="Arial" w:eastAsia="Times New Roman" w:hAnsi="Arial" w:cs="Arial"/>
                <w:lang w:val="nl-NL"/>
              </w:rPr>
              <w:t xml:space="preserve"> de voorzitter van de commissie.  De voorzitter roept vervolgens een vergadering van de commissie bijeen waarop de Minister wordt uitgenodigd. Opdat het akkoord effectief wordt opgezegd, moet een meerderheid van de aanwezige vertegenwoordigers van de representatieve organisaties van zorgverleners de opzegging bevestigen. </w:t>
            </w:r>
            <w:r>
              <w:rPr>
                <w:rFonts w:ascii="Arial" w:eastAsia="Times New Roman" w:hAnsi="Arial" w:cs="Arial"/>
                <w:lang w:val="nl-NL"/>
              </w:rPr>
              <w:t>H</w:t>
            </w:r>
            <w:r w:rsidRPr="00EF1765">
              <w:rPr>
                <w:rFonts w:ascii="Arial" w:eastAsia="Times New Roman" w:hAnsi="Arial" w:cs="Arial"/>
                <w:lang w:val="nl-NL"/>
              </w:rPr>
              <w:t xml:space="preserve">et akkoord neemt dan van </w:t>
            </w:r>
            <w:r w:rsidRPr="00EF1765">
              <w:rPr>
                <w:rFonts w:ascii="Arial" w:eastAsia="Times New Roman" w:hAnsi="Arial" w:cs="Arial"/>
                <w:lang w:val="nl-NL"/>
              </w:rPr>
              <w:lastRenderedPageBreak/>
              <w:t>rechtswege een einde 30 dagen na die vergadering.</w:t>
            </w:r>
            <w:r w:rsidRPr="009812E7">
              <w:rPr>
                <w:lang w:val="nl-NL"/>
              </w:rPr>
              <w:t xml:space="preserve"> </w:t>
            </w:r>
            <w:r w:rsidRPr="009812E7">
              <w:rPr>
                <w:rFonts w:ascii="Arial" w:eastAsia="Times New Roman" w:hAnsi="Arial" w:cs="Arial"/>
                <w:lang w:val="nl-NL"/>
              </w:rPr>
              <w:t>Na opzegging van een akkoord kan ook altijd een nieuw akkoord worden gesloten in de loop van het jaar.</w:t>
            </w:r>
          </w:p>
        </w:tc>
      </w:tr>
      <w:tr w:rsidR="00477C89" w:rsidRPr="00A827F1" w14:paraId="4C835F75" w14:textId="77777777" w:rsidTr="005F50EE">
        <w:tc>
          <w:tcPr>
            <w:tcW w:w="5104" w:type="dxa"/>
          </w:tcPr>
          <w:p w14:paraId="05ABC89B"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A3BA05A"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03878835" w14:textId="77777777" w:rsidTr="005F50EE">
        <w:tc>
          <w:tcPr>
            <w:tcW w:w="5104" w:type="dxa"/>
          </w:tcPr>
          <w:p w14:paraId="539947F0" w14:textId="2390482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+28</w:t>
            </w:r>
          </w:p>
        </w:tc>
        <w:tc>
          <w:tcPr>
            <w:tcW w:w="5104" w:type="dxa"/>
          </w:tcPr>
          <w:p w14:paraId="3A69AFBC" w14:textId="6B4B01F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+28</w:t>
            </w:r>
          </w:p>
        </w:tc>
      </w:tr>
      <w:tr w:rsidR="00477C89" w:rsidRPr="004722CA" w14:paraId="53D35A87" w14:textId="77777777" w:rsidTr="005F50EE">
        <w:tc>
          <w:tcPr>
            <w:tcW w:w="5104" w:type="dxa"/>
          </w:tcPr>
          <w:p w14:paraId="76FB179D"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9C5C997"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8EC6594" w14:textId="77777777" w:rsidTr="005F50EE">
        <w:tc>
          <w:tcPr>
            <w:tcW w:w="5104" w:type="dxa"/>
          </w:tcPr>
          <w:p w14:paraId="52EC5650" w14:textId="0168BFDE"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Cet article complète la loi coordonnée par un article 51/5 dans lequel la situation des dispensateurs de soins est réglée pendant la période entre  la fin d’un accord ou d’un document</w:t>
            </w:r>
            <w:r w:rsidRPr="00C47D0F">
              <w:rPr>
                <w:rFonts w:ascii="Arial" w:eastAsia="Times New Roman" w:hAnsi="Arial" w:cs="Arial"/>
                <w:lang w:val="fr-FR"/>
              </w:rPr>
              <w:t xml:space="preserve"> et l’applicabilité individuelle des textes suivants</w:t>
            </w:r>
            <w:r w:rsidRPr="00D978FA">
              <w:rPr>
                <w:rFonts w:ascii="Arial" w:eastAsia="Times New Roman" w:hAnsi="Arial" w:cs="Arial"/>
                <w:lang w:val="fr-FR"/>
              </w:rPr>
              <w:t xml:space="preserve">. </w:t>
            </w:r>
          </w:p>
          <w:p w14:paraId="6E44E17B" w14:textId="2CCBE6CC"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638B0FDC" w14:textId="52A46235"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Dit artikel vult de gecoördineerde wet aan met een artikel 51/5 waarin de situatie van de zorgverleners wordt geregeld in de periode tussen het einde van een akkoord of een document</w:t>
            </w:r>
            <w:r w:rsidRPr="00C47D0F">
              <w:rPr>
                <w:rFonts w:ascii="Arial" w:eastAsia="Times New Roman" w:hAnsi="Arial" w:cs="Arial"/>
                <w:lang w:val="nl-NL"/>
              </w:rPr>
              <w:t xml:space="preserve"> en de individuele toepasbaarheid van de volgende teksten</w:t>
            </w:r>
            <w:r w:rsidRPr="00EF1765">
              <w:rPr>
                <w:rFonts w:ascii="Arial" w:eastAsia="Times New Roman" w:hAnsi="Arial" w:cs="Arial"/>
                <w:lang w:val="nl-NL"/>
              </w:rPr>
              <w:t xml:space="preserve">. </w:t>
            </w:r>
          </w:p>
        </w:tc>
      </w:tr>
      <w:tr w:rsidR="00477C89" w:rsidRPr="00A827F1" w14:paraId="3475F9BD" w14:textId="77777777" w:rsidTr="005F50EE">
        <w:tc>
          <w:tcPr>
            <w:tcW w:w="5104" w:type="dxa"/>
          </w:tcPr>
          <w:p w14:paraId="77F031D5"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4B4BAFA"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B85609D" w14:textId="77777777" w:rsidTr="005F50EE">
        <w:tc>
          <w:tcPr>
            <w:tcW w:w="5104" w:type="dxa"/>
          </w:tcPr>
          <w:p w14:paraId="2BDD1F6D" w14:textId="508E5503"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Lorsqu’à la date d’expiration d’un accord ou d’un document, un nouvel accord est conclu et approuvé par le Comité de l’assurance et le Conseil général, les dispensateurs de soins conservent leur statut de conventionnement, soit jusqu’au jour où ils notifient leur refus d’adhérer au nouvel accord, soit jusqu’au jour où ils sont réputés avoir adhéré au nouvel accord.  </w:t>
            </w:r>
          </w:p>
        </w:tc>
        <w:tc>
          <w:tcPr>
            <w:tcW w:w="5104" w:type="dxa"/>
          </w:tcPr>
          <w:p w14:paraId="5D0B749C" w14:textId="30EDD4C0"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Wanneer op de datum van het verstrijken van een akkoord of een document een nieuw akkoord is gesloten en goedgekeurd door het Verzekeringscomité en de Algemene raad, behouden de zorgverleners hun conventiestatuut ofwel tot de dag waarop zij kennis geven van hun weigering tot toetreding tot het nieuwe akkoord, ofwel tot de dag waarop zij worden geacht te zijn toegetreden tot het nieuwe akkoord.    </w:t>
            </w:r>
          </w:p>
        </w:tc>
      </w:tr>
      <w:tr w:rsidR="00477C89" w:rsidRPr="00A827F1" w14:paraId="1B504E6A" w14:textId="77777777" w:rsidTr="005F50EE">
        <w:tc>
          <w:tcPr>
            <w:tcW w:w="5104" w:type="dxa"/>
          </w:tcPr>
          <w:p w14:paraId="74A7B56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60E70FA6" w14:textId="0033A849"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C3AE319" w14:textId="77777777" w:rsidTr="005F50EE">
        <w:tc>
          <w:tcPr>
            <w:tcW w:w="5104" w:type="dxa"/>
          </w:tcPr>
          <w:p w14:paraId="6926C208" w14:textId="74AF55C3"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Lorsqu’à la date d’expiration d’un accord ou d’un document, aucun nouvel accord n’est conclu ou aucun nouvel accord n’est approuvé, les dispensateurs de soins conservent leur statut de conventionnement, soit jusqu’au jour où ils notifient leur refus d’adhérer au document établi par le Comité de l’assurance ou le Ministre, soit jusqu’au jour où ils sont réputés avoir adhéré au document établi par le Comité de l’assurance ou le Ministre. Toutefois, si</w:t>
            </w:r>
            <w:r>
              <w:rPr>
                <w:rFonts w:ascii="Arial" w:eastAsia="Times New Roman" w:hAnsi="Arial" w:cs="Arial"/>
                <w:lang w:val="fr-FR"/>
              </w:rPr>
              <w:t>,</w:t>
            </w:r>
            <w:r w:rsidRPr="00D978FA">
              <w:rPr>
                <w:rFonts w:ascii="Arial" w:eastAsia="Times New Roman" w:hAnsi="Arial" w:cs="Arial"/>
                <w:lang w:val="fr-FR"/>
              </w:rPr>
              <w:t xml:space="preserve"> </w:t>
            </w:r>
            <w:r>
              <w:rPr>
                <w:rFonts w:ascii="Arial" w:eastAsia="Times New Roman" w:hAnsi="Arial" w:cs="Arial"/>
                <w:lang w:val="fr-FR"/>
              </w:rPr>
              <w:t xml:space="preserve">au plus tard </w:t>
            </w:r>
            <w:r w:rsidRPr="00D978FA">
              <w:rPr>
                <w:rFonts w:ascii="Arial" w:eastAsia="Times New Roman" w:hAnsi="Arial" w:cs="Arial"/>
                <w:lang w:val="fr-FR"/>
              </w:rPr>
              <w:t xml:space="preserve">le dernier jour de février, </w:t>
            </w:r>
            <w:r>
              <w:rPr>
                <w:rFonts w:ascii="Arial" w:eastAsia="Times New Roman" w:hAnsi="Arial" w:cs="Arial"/>
                <w:lang w:val="fr-FR"/>
              </w:rPr>
              <w:t xml:space="preserve">aucun document n’est établi par le Ministre et approuvé par le Conseil général, </w:t>
            </w:r>
            <w:r w:rsidRPr="00D978FA">
              <w:rPr>
                <w:rFonts w:ascii="Arial" w:eastAsia="Times New Roman" w:hAnsi="Arial" w:cs="Arial"/>
                <w:lang w:val="fr-FR"/>
              </w:rPr>
              <w:t>les dispensateurs de soins conservent leur statut de conventionnement jusqu’au dernier jour de février.</w:t>
            </w:r>
          </w:p>
          <w:p w14:paraId="71978344" w14:textId="00DE0B34"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5C93C6B5" w14:textId="06083CF5"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Wanneer op de datum van het verstrijken van een akkoord of een document, geen nieuw akkoord is gesloten of geen nieuw akkoord is goedgekeurd, behouden de zorgverleners hun conventiestatuut, ofwel tot de dag waarop zij kennis geven van hun weigering tot toetreding tot het document vastgesteld door het Verzekeringscomité of de Minister, ofwel tot de dag waarop zij worden geacht te zijn toegetreden tot het document vastgesteld door het Verzekeringscomité of de Minister. Als echter uiterlijk op de laatste dag van februari geen document </w:t>
            </w:r>
            <w:r>
              <w:rPr>
                <w:rFonts w:ascii="Arial" w:eastAsia="Times New Roman" w:hAnsi="Arial" w:cs="Arial"/>
                <w:lang w:val="nl-NL"/>
              </w:rPr>
              <w:t>is</w:t>
            </w:r>
            <w:r w:rsidRPr="00EF1765">
              <w:rPr>
                <w:rFonts w:ascii="Arial" w:eastAsia="Times New Roman" w:hAnsi="Arial" w:cs="Arial"/>
                <w:lang w:val="nl-NL"/>
              </w:rPr>
              <w:t xml:space="preserve"> vastgesteld</w:t>
            </w:r>
            <w:r>
              <w:rPr>
                <w:rFonts w:ascii="Arial" w:eastAsia="Times New Roman" w:hAnsi="Arial" w:cs="Arial"/>
                <w:lang w:val="nl-NL"/>
              </w:rPr>
              <w:t xml:space="preserve"> door de Minister en goedgekeurd is door de Algemene raad</w:t>
            </w:r>
            <w:r w:rsidRPr="00EF1765">
              <w:rPr>
                <w:rFonts w:ascii="Arial" w:eastAsia="Times New Roman" w:hAnsi="Arial" w:cs="Arial"/>
                <w:lang w:val="nl-NL"/>
              </w:rPr>
              <w:t>, behouden de zorgverleners hun conventiestatuut tot de laatste dag van februari.</w:t>
            </w:r>
          </w:p>
        </w:tc>
      </w:tr>
      <w:tr w:rsidR="00477C89" w:rsidRPr="00A827F1" w14:paraId="03323C21" w14:textId="77777777" w:rsidTr="005F50EE">
        <w:tc>
          <w:tcPr>
            <w:tcW w:w="5104" w:type="dxa"/>
          </w:tcPr>
          <w:p w14:paraId="0DC7FB2B"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BFB4FD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352A2914" w14:textId="77777777" w:rsidTr="005F50EE">
        <w:tc>
          <w:tcPr>
            <w:tcW w:w="5104" w:type="dxa"/>
          </w:tcPr>
          <w:p w14:paraId="427F0AF9" w14:textId="2F7D0DC3" w:rsidR="00477C89" w:rsidRPr="00671DC6" w:rsidRDefault="00477C89" w:rsidP="00477C89">
            <w:pPr>
              <w:spacing w:after="0" w:line="240" w:lineRule="auto"/>
              <w:jc w:val="both"/>
              <w:outlineLvl w:val="0"/>
              <w:rPr>
                <w:rFonts w:ascii="Arial" w:eastAsia="Times New Roman" w:hAnsi="Arial" w:cs="Arial"/>
                <w:lang w:val="fr-FR"/>
              </w:rPr>
            </w:pPr>
            <w:r w:rsidRPr="00671DC6">
              <w:rPr>
                <w:rFonts w:ascii="Arial" w:eastAsia="Times New Roman" w:hAnsi="Arial" w:cs="Arial"/>
                <w:lang w:val="fr-FR"/>
              </w:rPr>
              <w:t>Si aucun accord ou aucun document n’est en vigueur, le Roi doit fixer, pour toutes ou certaines prestations déterminées et pour toutes ou certaines catégories de bénéficiaires, les tarifs maximums des honoraires et prix. Le Roi utilisera également la masse d’index pour fixer les tarifs maximums.</w:t>
            </w:r>
            <w:r w:rsidR="00D86DB6" w:rsidRPr="00671DC6">
              <w:rPr>
                <w:rFonts w:ascii="Arial" w:eastAsia="Times New Roman" w:hAnsi="Arial" w:cs="Arial"/>
                <w:lang w:val="fr-FR"/>
              </w:rPr>
              <w:t xml:space="preserve"> </w:t>
            </w:r>
            <w:r w:rsidR="00D7598A" w:rsidRPr="00671DC6">
              <w:rPr>
                <w:rFonts w:ascii="Arial" w:eastAsia="Times New Roman" w:hAnsi="Arial" w:cs="Arial"/>
                <w:lang w:val="fr-FR"/>
              </w:rPr>
              <w:t xml:space="preserve">La masse d’index qui n’a pas été utilisée parce qu’il n'y a pas d’accord ou parce qu’un accord conclu n’entrerait finalement pas en vigueur reste toujours réservée au profit du secteur concerné et est à nouveau remobilisée dès que possible, soit après </w:t>
            </w:r>
            <w:r w:rsidR="00D7598A" w:rsidRPr="00671DC6">
              <w:rPr>
                <w:rFonts w:ascii="Arial" w:eastAsia="Times New Roman" w:hAnsi="Arial" w:cs="Arial"/>
                <w:lang w:val="fr-FR"/>
              </w:rPr>
              <w:lastRenderedPageBreak/>
              <w:t>la conclusion d’un nouvel accord, soit lors de la fixation de tarifs par le Roi.</w:t>
            </w:r>
          </w:p>
          <w:p w14:paraId="393975BC" w14:textId="77777777" w:rsidR="00477C89" w:rsidRPr="00671DC6" w:rsidRDefault="00477C89" w:rsidP="00477C89">
            <w:pPr>
              <w:spacing w:after="0" w:line="240" w:lineRule="auto"/>
              <w:jc w:val="both"/>
              <w:outlineLvl w:val="0"/>
              <w:rPr>
                <w:rFonts w:ascii="Arial" w:eastAsia="Times New Roman" w:hAnsi="Arial" w:cs="Arial"/>
                <w:lang w:val="fr-FR"/>
              </w:rPr>
            </w:pPr>
          </w:p>
        </w:tc>
        <w:tc>
          <w:tcPr>
            <w:tcW w:w="5104" w:type="dxa"/>
          </w:tcPr>
          <w:p w14:paraId="6C668C88" w14:textId="57DA546E" w:rsidR="00477C89" w:rsidRPr="00671DC6" w:rsidRDefault="00477C89" w:rsidP="00477C89">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lastRenderedPageBreak/>
              <w:t xml:space="preserve">Wanneer geen akkoord of geen document in werking is, </w:t>
            </w:r>
            <w:r w:rsidR="00FF120E" w:rsidRPr="00671DC6">
              <w:rPr>
                <w:rFonts w:ascii="Arial" w:eastAsia="Times New Roman" w:hAnsi="Arial" w:cs="Arial"/>
                <w:lang w:val="nl-NL"/>
              </w:rPr>
              <w:t>dient de Koning</w:t>
            </w:r>
            <w:r w:rsidRPr="00671DC6">
              <w:rPr>
                <w:rFonts w:ascii="Arial" w:eastAsia="Times New Roman" w:hAnsi="Arial" w:cs="Arial"/>
                <w:lang w:val="nl-NL"/>
              </w:rPr>
              <w:t>, voor alle- of voor bepaalde verstrekkingen en voor alle- of voor bepaalde categorieën van rechthebbenden, maximumtarieven van honoraria en prijzen vast te stellen. De Koning zal bij de vaststelling van maximumtarieven ook de indexmassa gebruiken.</w:t>
            </w:r>
            <w:r w:rsidR="00D86DB6" w:rsidRPr="00671DC6">
              <w:rPr>
                <w:lang w:val="nl-NL"/>
              </w:rPr>
              <w:t xml:space="preserve"> </w:t>
            </w:r>
            <w:r w:rsidR="00D7598A" w:rsidRPr="00671DC6">
              <w:rPr>
                <w:rFonts w:ascii="Arial" w:eastAsia="Times New Roman" w:hAnsi="Arial" w:cs="Arial"/>
                <w:lang w:val="nl-NL"/>
              </w:rPr>
              <w:t xml:space="preserve">De indexmassa die niet is gebruikt omdat er geen akkoord is of een afgesloten akkoord uiteindelijk niet in werking zou treden, blijft steeds gereserveerd ten gunste van de betrokken sector, </w:t>
            </w:r>
            <w:r w:rsidR="00D7598A" w:rsidRPr="00671DC6">
              <w:rPr>
                <w:rFonts w:ascii="Arial" w:eastAsia="Times New Roman" w:hAnsi="Arial" w:cs="Arial"/>
                <w:lang w:val="nl-NL"/>
              </w:rPr>
              <w:lastRenderedPageBreak/>
              <w:t xml:space="preserve">en wordt zo snel al mogelijk opnieuw te gelde gemaakt, hetzij na afsluiten van een nieuw akkoord, hetzij bij vaststellen van tarieven door de Koning.  </w:t>
            </w:r>
          </w:p>
        </w:tc>
      </w:tr>
      <w:tr w:rsidR="00477C89" w:rsidRPr="00A827F1" w14:paraId="6DD45EF8" w14:textId="77777777" w:rsidTr="005F50EE">
        <w:tc>
          <w:tcPr>
            <w:tcW w:w="5104" w:type="dxa"/>
          </w:tcPr>
          <w:p w14:paraId="06231563" w14:textId="77777777" w:rsidR="00477C89" w:rsidRPr="00671DC6" w:rsidRDefault="00477C89" w:rsidP="00477C89">
            <w:pPr>
              <w:spacing w:after="0" w:line="240" w:lineRule="auto"/>
              <w:jc w:val="both"/>
              <w:outlineLvl w:val="0"/>
              <w:rPr>
                <w:rFonts w:ascii="Arial" w:eastAsia="Times New Roman" w:hAnsi="Arial" w:cs="Arial"/>
                <w:lang w:val="nl-NL"/>
              </w:rPr>
            </w:pPr>
          </w:p>
        </w:tc>
        <w:tc>
          <w:tcPr>
            <w:tcW w:w="5104" w:type="dxa"/>
          </w:tcPr>
          <w:p w14:paraId="0AF82C9E" w14:textId="77777777" w:rsidR="00477C89" w:rsidRPr="00671DC6" w:rsidRDefault="00477C89" w:rsidP="00477C89">
            <w:pPr>
              <w:spacing w:after="0" w:line="240" w:lineRule="auto"/>
              <w:jc w:val="both"/>
              <w:outlineLvl w:val="0"/>
              <w:rPr>
                <w:rFonts w:ascii="Arial" w:eastAsia="Times New Roman" w:hAnsi="Arial" w:cs="Arial"/>
                <w:lang w:val="nl-NL"/>
              </w:rPr>
            </w:pPr>
          </w:p>
        </w:tc>
      </w:tr>
      <w:tr w:rsidR="00477C89" w:rsidRPr="00A827F1" w14:paraId="4CE09165" w14:textId="77777777" w:rsidTr="005F50EE">
        <w:tc>
          <w:tcPr>
            <w:tcW w:w="5104" w:type="dxa"/>
          </w:tcPr>
          <w:p w14:paraId="074C4B6E" w14:textId="2C92D443" w:rsidR="00477C89" w:rsidRPr="00671DC6" w:rsidRDefault="00477C89" w:rsidP="00477C89">
            <w:pPr>
              <w:spacing w:after="0" w:line="240" w:lineRule="auto"/>
              <w:jc w:val="both"/>
              <w:outlineLvl w:val="0"/>
              <w:rPr>
                <w:rFonts w:ascii="Arial" w:eastAsia="Times New Roman" w:hAnsi="Arial" w:cs="Arial"/>
                <w:lang w:val="fr-FR"/>
              </w:rPr>
            </w:pPr>
            <w:r w:rsidRPr="00671DC6">
              <w:rPr>
                <w:rFonts w:ascii="Arial" w:eastAsia="Times New Roman" w:hAnsi="Arial" w:cs="Arial"/>
                <w:lang w:val="fr-FR"/>
              </w:rPr>
              <w:t>Le Roi détermine également la base de calcul pour les interventions de l’assurance</w:t>
            </w:r>
            <w:r w:rsidR="001C1FB4" w:rsidRPr="00671DC6">
              <w:rPr>
                <w:rFonts w:ascii="Arial" w:eastAsia="Times New Roman" w:hAnsi="Arial" w:cs="Arial"/>
                <w:lang w:val="fr-FR"/>
              </w:rPr>
              <w:t xml:space="preserve"> obligatoire soins de santé</w:t>
            </w:r>
            <w:r w:rsidRPr="00671DC6">
              <w:rPr>
                <w:rFonts w:ascii="Arial" w:eastAsia="Times New Roman" w:hAnsi="Arial" w:cs="Arial"/>
                <w:lang w:val="fr-FR"/>
              </w:rPr>
              <w:t xml:space="preserve">. En l'absence d'arrêté royal, les montants et honoraires prévus dans l'accord ou le document expiré continueront provisoirement à servir de base de calcul pour l’intervention de l’assurance </w:t>
            </w:r>
            <w:r w:rsidR="001C1FB4" w:rsidRPr="00671DC6">
              <w:rPr>
                <w:rFonts w:ascii="Arial" w:eastAsia="Times New Roman" w:hAnsi="Arial" w:cs="Arial"/>
                <w:lang w:val="fr-FR"/>
              </w:rPr>
              <w:t xml:space="preserve">obligatoire soins de santé </w:t>
            </w:r>
            <w:r w:rsidRPr="00671DC6">
              <w:rPr>
                <w:rFonts w:ascii="Arial" w:eastAsia="Times New Roman" w:hAnsi="Arial" w:cs="Arial"/>
                <w:lang w:val="fr-FR"/>
              </w:rPr>
              <w:t>jusqu'à l'entrée en vigueur d'un nouvel accord ou d'un autre texte légalement valable.</w:t>
            </w:r>
          </w:p>
        </w:tc>
        <w:tc>
          <w:tcPr>
            <w:tcW w:w="5104" w:type="dxa"/>
          </w:tcPr>
          <w:p w14:paraId="14F66DD7" w14:textId="546FECF0" w:rsidR="00477C89" w:rsidRPr="00DF4489" w:rsidRDefault="00477C89" w:rsidP="00477C89">
            <w:pPr>
              <w:spacing w:after="0" w:line="240" w:lineRule="auto"/>
              <w:jc w:val="both"/>
              <w:outlineLvl w:val="0"/>
              <w:rPr>
                <w:rFonts w:ascii="Arial" w:eastAsia="Times New Roman" w:hAnsi="Arial" w:cs="Arial"/>
                <w:lang w:val="nl-NL"/>
              </w:rPr>
            </w:pPr>
            <w:r w:rsidRPr="00671DC6">
              <w:rPr>
                <w:rFonts w:ascii="Arial" w:eastAsia="Times New Roman" w:hAnsi="Arial" w:cs="Arial"/>
                <w:lang w:val="nl-NL"/>
              </w:rPr>
              <w:t>De Koning stelt dan tevens de berekeningsbasis vast voor de tegemoetkomingen</w:t>
            </w:r>
            <w:r w:rsidR="00D83D55" w:rsidRPr="00671DC6">
              <w:rPr>
                <w:rFonts w:ascii="Arial" w:eastAsia="Times New Roman" w:hAnsi="Arial" w:cs="Arial"/>
                <w:lang w:val="nl-NL"/>
              </w:rPr>
              <w:t xml:space="preserve"> van de verplichte verzekering voor geneeskundige verzorging</w:t>
            </w:r>
            <w:r w:rsidRPr="00671DC6">
              <w:rPr>
                <w:rFonts w:ascii="Arial" w:eastAsia="Times New Roman" w:hAnsi="Arial" w:cs="Arial"/>
                <w:lang w:val="nl-NL"/>
              </w:rPr>
              <w:t>. In afwezigheid van een koninklijk besluit blijven de in het verstreken akkoord of de in het verstreken document vastgestelde bedragen en honoraria voorlopig als berekeningsbasis dienen voor de tegemoetkoming</w:t>
            </w:r>
            <w:r w:rsidR="00D83D55" w:rsidRPr="00671DC6">
              <w:rPr>
                <w:rFonts w:ascii="Arial" w:eastAsia="Times New Roman" w:hAnsi="Arial" w:cs="Arial"/>
                <w:lang w:val="nl-NL"/>
              </w:rPr>
              <w:t xml:space="preserve"> van de verplichte verzekering voor geneeskundige verzorging</w:t>
            </w:r>
            <w:r w:rsidRPr="00671DC6">
              <w:rPr>
                <w:rFonts w:ascii="Arial" w:eastAsia="Times New Roman" w:hAnsi="Arial" w:cs="Arial"/>
                <w:lang w:val="nl-NL"/>
              </w:rPr>
              <w:t xml:space="preserve"> totdat een nieuw akkoord of een andere als zodanig wettelijk geldende tekst in werking treedt.</w:t>
            </w:r>
          </w:p>
        </w:tc>
      </w:tr>
      <w:tr w:rsidR="00477C89" w:rsidRPr="00A827F1" w14:paraId="2EF216E1" w14:textId="77777777" w:rsidTr="005F50EE">
        <w:tc>
          <w:tcPr>
            <w:tcW w:w="5104" w:type="dxa"/>
          </w:tcPr>
          <w:p w14:paraId="186F020A"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5ADFDE4"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EC0315B" w14:textId="77777777" w:rsidTr="005F50EE">
        <w:tc>
          <w:tcPr>
            <w:tcW w:w="5104" w:type="dxa"/>
          </w:tcPr>
          <w:p w14:paraId="7D287E38" w14:textId="5B32CB11"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L’article en projet précise enfin que la masse d’index pour l’année calendrier suivante ne peut être affectée que lorsqu’un nouvel</w:t>
            </w:r>
            <w:r>
              <w:rPr>
                <w:rFonts w:ascii="Arial" w:eastAsia="Times New Roman" w:hAnsi="Arial" w:cs="Arial"/>
                <w:lang w:val="fr-FR"/>
              </w:rPr>
              <w:t xml:space="preserve"> accord</w:t>
            </w:r>
            <w:r w:rsidRPr="00D978FA">
              <w:rPr>
                <w:rFonts w:ascii="Arial" w:eastAsia="Times New Roman" w:hAnsi="Arial" w:cs="Arial"/>
                <w:lang w:val="fr-FR"/>
              </w:rPr>
              <w:t xml:space="preserve">, approuvé par le Comité de l’assurance et le Conseil général, est conclu au moins avant la fin de l’année civile. </w:t>
            </w:r>
          </w:p>
          <w:p w14:paraId="186483BE" w14:textId="6C48C6D8"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631EC6DE" w14:textId="5AE2B124"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Het ontworpen artikel preciseert tenslotte dat de indexmassa voor het volgende kalenderjaar pas kan worden aangewend wanneer er minstens voor het einde van een kalenderjaar een nieuw en door het Verzekeringscomité en de Algemene Raad goedgekeurd akkoord zou zijn gesloten.  </w:t>
            </w:r>
          </w:p>
        </w:tc>
      </w:tr>
      <w:tr w:rsidR="00477C89" w:rsidRPr="00A827F1" w14:paraId="6665CA67" w14:textId="77777777" w:rsidTr="005F50EE">
        <w:tc>
          <w:tcPr>
            <w:tcW w:w="5104" w:type="dxa"/>
          </w:tcPr>
          <w:p w14:paraId="2FDA9FB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12CFFF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4F6D54EB" w14:textId="77777777" w:rsidTr="005F50EE">
        <w:tc>
          <w:tcPr>
            <w:tcW w:w="5104" w:type="dxa"/>
          </w:tcPr>
          <w:p w14:paraId="6A12B97E" w14:textId="64E18D79" w:rsidR="00477C89" w:rsidRPr="009B50C8"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L’affectation de la masse d’index doit être comprise comme la possibilité de procéder, à partir du 1</w:t>
            </w:r>
            <w:r w:rsidRPr="007D025D">
              <w:rPr>
                <w:rFonts w:ascii="Arial" w:hAnsi="Arial"/>
                <w:vertAlign w:val="superscript"/>
                <w:lang w:val="fr-FR"/>
              </w:rPr>
              <w:t>er</w:t>
            </w:r>
            <w:r w:rsidRPr="00D978FA">
              <w:rPr>
                <w:rFonts w:ascii="Arial" w:eastAsia="Times New Roman" w:hAnsi="Arial" w:cs="Arial"/>
                <w:lang w:val="fr-FR"/>
              </w:rPr>
              <w:t xml:space="preserve"> janvier, </w:t>
            </w:r>
            <w:r>
              <w:rPr>
                <w:rFonts w:ascii="Arial" w:eastAsia="Times New Roman" w:hAnsi="Arial" w:cs="Arial"/>
                <w:lang w:val="fr-FR"/>
              </w:rPr>
              <w:t>à l’adaptation des tarifs convenue dans le nouvel accord</w:t>
            </w:r>
            <w:r w:rsidRPr="00D978FA">
              <w:rPr>
                <w:rFonts w:ascii="Arial" w:eastAsia="Times New Roman" w:hAnsi="Arial" w:cs="Arial"/>
                <w:lang w:val="fr-FR"/>
              </w:rPr>
              <w:t xml:space="preserve">. </w:t>
            </w:r>
            <w:r>
              <w:rPr>
                <w:rFonts w:ascii="Arial" w:eastAsia="Times New Roman" w:hAnsi="Arial" w:cs="Arial"/>
                <w:lang w:val="fr-FR"/>
              </w:rPr>
              <w:t xml:space="preserve">Il peut s’agir d’une indexation linéaire, mais même </w:t>
            </w:r>
            <w:r w:rsidRPr="00D978FA">
              <w:rPr>
                <w:rFonts w:ascii="Arial" w:eastAsia="Times New Roman" w:hAnsi="Arial" w:cs="Arial"/>
                <w:lang w:val="fr-FR"/>
              </w:rPr>
              <w:t xml:space="preserve">si un nouvel accord ne prévoit qu'une indexation partielle de certaines prestations, cette indexation partielle pour ces prestations spécifiques peut déjà être mise en œuvre à partir du 1er janvier. </w:t>
            </w:r>
            <w:r>
              <w:rPr>
                <w:rFonts w:ascii="Arial" w:eastAsia="Times New Roman" w:hAnsi="Arial" w:cs="Arial"/>
                <w:lang w:val="fr-FR"/>
              </w:rPr>
              <w:t>Il en va de même lorsque</w:t>
            </w:r>
            <w:r w:rsidRPr="00D978FA">
              <w:rPr>
                <w:rFonts w:ascii="Arial" w:eastAsia="Times New Roman" w:hAnsi="Arial" w:cs="Arial"/>
                <w:lang w:val="fr-FR"/>
              </w:rPr>
              <w:t xml:space="preserve"> le nouve</w:t>
            </w:r>
            <w:r>
              <w:rPr>
                <w:rFonts w:ascii="Arial" w:eastAsia="Times New Roman" w:hAnsi="Arial" w:cs="Arial"/>
                <w:lang w:val="fr-FR"/>
              </w:rPr>
              <w:t>l</w:t>
            </w:r>
            <w:r w:rsidRPr="00D978FA">
              <w:rPr>
                <w:rFonts w:ascii="Arial" w:eastAsia="Times New Roman" w:hAnsi="Arial" w:cs="Arial"/>
                <w:lang w:val="fr-FR"/>
              </w:rPr>
              <w:t xml:space="preserve"> </w:t>
            </w:r>
            <w:r>
              <w:rPr>
                <w:rFonts w:ascii="Arial" w:eastAsia="Times New Roman" w:hAnsi="Arial" w:cs="Arial"/>
                <w:lang w:val="fr-FR"/>
              </w:rPr>
              <w:t>accord</w:t>
            </w:r>
            <w:r w:rsidRPr="00D978FA">
              <w:rPr>
                <w:rFonts w:ascii="Arial" w:eastAsia="Times New Roman" w:hAnsi="Arial" w:cs="Arial"/>
                <w:lang w:val="fr-FR"/>
              </w:rPr>
              <w:t xml:space="preserve"> prévoit des spécificités </w:t>
            </w:r>
            <w:r>
              <w:rPr>
                <w:rFonts w:ascii="Arial" w:eastAsia="Times New Roman" w:hAnsi="Arial" w:cs="Arial"/>
                <w:lang w:val="fr-FR"/>
              </w:rPr>
              <w:t>telles qu’</w:t>
            </w:r>
            <w:r w:rsidRPr="00D978FA">
              <w:rPr>
                <w:rFonts w:ascii="Arial" w:eastAsia="Times New Roman" w:hAnsi="Arial" w:cs="Arial"/>
                <w:lang w:val="fr-FR"/>
              </w:rPr>
              <w:t xml:space="preserve">une affectation différente ou alternative de la masse d'indexation par rapport à une indexation habituelle. </w:t>
            </w:r>
            <w:r w:rsidRPr="0050339E">
              <w:rPr>
                <w:rFonts w:ascii="Arial" w:eastAsia="Times New Roman" w:hAnsi="Arial" w:cs="Arial"/>
                <w:lang w:val="fr-FR"/>
              </w:rPr>
              <w:t>Toutefois, s’il s’avère, à l’issue du processus d’opt-out, que l’accord ne peut pas entrer en vigueur, l’indexation et l’adaptation des tarifs seront retirés et repositionnés selon les tarifs en vigueur au cours de l’année civile précédente.</w:t>
            </w:r>
            <w:r w:rsidR="007D025D" w:rsidRPr="007D025D">
              <w:rPr>
                <w:rFonts w:ascii="Arial" w:eastAsia="Times New Roman" w:hAnsi="Arial" w:cs="Arial"/>
                <w:lang w:val="fr-FR"/>
              </w:rPr>
              <w:t xml:space="preserve"> De cette manière, l’adaptation des tarifs au 1</w:t>
            </w:r>
            <w:r w:rsidR="007D025D" w:rsidRPr="007D025D">
              <w:rPr>
                <w:rFonts w:ascii="Arial" w:eastAsia="Times New Roman" w:hAnsi="Arial" w:cs="Arial"/>
                <w:vertAlign w:val="superscript"/>
                <w:lang w:val="fr-FR"/>
              </w:rPr>
              <w:t>er</w:t>
            </w:r>
            <w:r w:rsidR="007D025D" w:rsidRPr="007D025D">
              <w:rPr>
                <w:rFonts w:ascii="Arial" w:eastAsia="Times New Roman" w:hAnsi="Arial" w:cs="Arial"/>
                <w:lang w:val="fr-FR"/>
              </w:rPr>
              <w:t xml:space="preserve"> janvier à la lumière du nouvel accord peut déjà être prévue au profit des dispensateurs de soins concernés et ce, dans l’attente du déroulement du processus de mise en vigueur de cet accord le cas échéant.  </w:t>
            </w:r>
          </w:p>
        </w:tc>
        <w:tc>
          <w:tcPr>
            <w:tcW w:w="5104" w:type="dxa"/>
          </w:tcPr>
          <w:p w14:paraId="6B62FC13" w14:textId="305B4EA1" w:rsidR="00477C89" w:rsidRPr="0050339E" w:rsidRDefault="00477C89" w:rsidP="00477C89">
            <w:pPr>
              <w:spacing w:after="0" w:line="240" w:lineRule="auto"/>
              <w:jc w:val="both"/>
              <w:outlineLvl w:val="0"/>
              <w:rPr>
                <w:rFonts w:ascii="Arial" w:eastAsia="Times New Roman" w:hAnsi="Arial" w:cs="Arial"/>
                <w:lang w:val="nl-NL"/>
              </w:rPr>
            </w:pPr>
            <w:r w:rsidRPr="0050339E">
              <w:rPr>
                <w:rFonts w:ascii="Arial" w:eastAsia="Times New Roman" w:hAnsi="Arial" w:cs="Arial"/>
                <w:lang w:val="nl-NL"/>
              </w:rPr>
              <w:t xml:space="preserve">Aanwending van de indexmassa dient te worden begrepen als de mogelijkheid om vanaf 1 januari reeds over te gaan tot de </w:t>
            </w:r>
            <w:r>
              <w:rPr>
                <w:rFonts w:ascii="Arial" w:eastAsia="Times New Roman" w:hAnsi="Arial" w:cs="Arial"/>
                <w:lang w:val="nl-NL"/>
              </w:rPr>
              <w:t>aanpassing van de tarieven zoals afgesproken in het nieuw akkoord</w:t>
            </w:r>
            <w:r w:rsidRPr="0050339E">
              <w:rPr>
                <w:rFonts w:ascii="Arial" w:eastAsia="Times New Roman" w:hAnsi="Arial" w:cs="Arial"/>
                <w:lang w:val="nl-NL"/>
              </w:rPr>
              <w:t xml:space="preserve">.   </w:t>
            </w:r>
            <w:r>
              <w:rPr>
                <w:rFonts w:ascii="Arial" w:eastAsia="Times New Roman" w:hAnsi="Arial" w:cs="Arial"/>
                <w:lang w:val="nl-NL"/>
              </w:rPr>
              <w:t>Dit kan een lineaire indexering zijn, maar ook</w:t>
            </w:r>
            <w:r w:rsidRPr="0050339E">
              <w:rPr>
                <w:rFonts w:ascii="Arial" w:eastAsia="Times New Roman" w:hAnsi="Arial" w:cs="Arial"/>
                <w:lang w:val="nl-NL"/>
              </w:rPr>
              <w:t xml:space="preserve"> wanneer een nieuw akkoord zou voorzien om bepaalde prestaties slechts gedeeltelijk te indexeren, kan die gedeeltelijke indexering voor die welbepaalde prestaties reeds worden doorgevoerd vanaf 1 januari. Hetzelfde geldt wanneer het nieuwe akkoord zou voorzien in bijzonderheden zoals een andere of alternatieve aanwending van de indexmassa dan een gebruikelijke indexering.</w:t>
            </w:r>
            <w:r w:rsidRPr="0050339E">
              <w:rPr>
                <w:lang w:val="nl-NL"/>
              </w:rPr>
              <w:t xml:space="preserve"> </w:t>
            </w:r>
            <w:r w:rsidRPr="0050339E">
              <w:rPr>
                <w:rFonts w:ascii="Arial" w:eastAsia="Times New Roman" w:hAnsi="Arial" w:cs="Arial"/>
                <w:lang w:val="nl-NL"/>
              </w:rPr>
              <w:t>Indien na het opt-out proces echter zou blijken dat het akkoord niet in werking kan treden,  wordt de indexering en de aanpassing van de tarieven teruggetrokken en geherpositioneerd naar de tarieven zoals ze van toepassing waren tijdens het voorgaande kalenderjaar.</w:t>
            </w:r>
            <w:r w:rsidR="00FF120E" w:rsidRPr="00FF120E">
              <w:rPr>
                <w:lang w:val="nl-NL"/>
              </w:rPr>
              <w:t xml:space="preserve"> </w:t>
            </w:r>
            <w:r w:rsidR="00FF120E" w:rsidRPr="00FF120E">
              <w:rPr>
                <w:rFonts w:ascii="Arial" w:eastAsia="Times New Roman" w:hAnsi="Arial" w:cs="Arial"/>
                <w:lang w:val="nl-NL"/>
              </w:rPr>
              <w:t>Op die manier kan ten voordele van de betrokken zorgverleners reeds worden voorzien in de aanpassing van de tarieven op 1 januari in het licht van het nieuwe akkoord en zulks in afwachting van de afwikkeling van het proces om dat akkoord desgevallend in werking te laten treden.</w:t>
            </w:r>
          </w:p>
        </w:tc>
      </w:tr>
      <w:tr w:rsidR="00477C89" w:rsidRPr="00A827F1" w14:paraId="1D807DE2" w14:textId="77777777" w:rsidTr="005F50EE">
        <w:tc>
          <w:tcPr>
            <w:tcW w:w="5104" w:type="dxa"/>
          </w:tcPr>
          <w:p w14:paraId="70E219F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D0B171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69E5F4AF" w14:textId="77777777" w:rsidTr="005F50EE">
        <w:tc>
          <w:tcPr>
            <w:tcW w:w="5104" w:type="dxa"/>
          </w:tcPr>
          <w:p w14:paraId="4163C652" w14:textId="7CE2D044"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lastRenderedPageBreak/>
              <w:t>Art. X</w:t>
            </w:r>
            <w:r>
              <w:rPr>
                <w:rFonts w:ascii="Arial" w:hAnsi="Arial" w:cs="Arial"/>
                <w:b/>
                <w:bCs/>
                <w:lang w:val="nl-NL"/>
              </w:rPr>
              <w:t>+29</w:t>
            </w:r>
          </w:p>
        </w:tc>
        <w:tc>
          <w:tcPr>
            <w:tcW w:w="5104" w:type="dxa"/>
          </w:tcPr>
          <w:p w14:paraId="2BBC17B3" w14:textId="4EDBB1A4"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+29</w:t>
            </w:r>
          </w:p>
        </w:tc>
      </w:tr>
      <w:tr w:rsidR="00477C89" w:rsidRPr="004722CA" w14:paraId="357A9F07" w14:textId="77777777" w:rsidTr="005F50EE">
        <w:tc>
          <w:tcPr>
            <w:tcW w:w="5104" w:type="dxa"/>
          </w:tcPr>
          <w:p w14:paraId="35E8C26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D77BC2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B4103FA" w14:textId="77777777" w:rsidTr="005F50EE">
        <w:tc>
          <w:tcPr>
            <w:tcW w:w="5104" w:type="dxa"/>
          </w:tcPr>
          <w:p w14:paraId="366D8154" w14:textId="07585BBB"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Enfin, cet article prévoit que les accords, les </w:t>
            </w:r>
            <w:r>
              <w:rPr>
                <w:rFonts w:ascii="Arial" w:eastAsia="Times New Roman" w:hAnsi="Arial" w:cs="Arial"/>
                <w:lang w:val="fr-FR"/>
              </w:rPr>
              <w:t>avenants</w:t>
            </w:r>
            <w:r w:rsidRPr="00D978FA">
              <w:rPr>
                <w:rFonts w:ascii="Arial" w:eastAsia="Times New Roman" w:hAnsi="Arial" w:cs="Arial"/>
                <w:lang w:val="fr-FR"/>
              </w:rPr>
              <w:t xml:space="preserve"> et les documents </w:t>
            </w:r>
            <w:r>
              <w:rPr>
                <w:rFonts w:ascii="Arial" w:eastAsia="Times New Roman" w:hAnsi="Arial" w:cs="Arial"/>
                <w:lang w:val="fr-FR"/>
              </w:rPr>
              <w:t>établis</w:t>
            </w:r>
            <w:r w:rsidRPr="00D978FA">
              <w:rPr>
                <w:rFonts w:ascii="Arial" w:eastAsia="Times New Roman" w:hAnsi="Arial" w:cs="Arial"/>
                <w:lang w:val="fr-FR"/>
              </w:rPr>
              <w:t xml:space="preserve"> par le Comité de l’assurance ou le Ministre sont publiés sur le site internet de l’INAMI et au Moniteur belge. L’INAMI doit également publier sur son site internet un texte coordonné des accords.</w:t>
            </w:r>
          </w:p>
        </w:tc>
        <w:tc>
          <w:tcPr>
            <w:tcW w:w="5104" w:type="dxa"/>
          </w:tcPr>
          <w:p w14:paraId="22074078" w14:textId="77777777"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Dit artikel voorziet tenslotte dat de akkoorden, de wijzigingsclausules en de door het Verzekeringscomité of de Minister vastgestelde documenten worden gepubliceerd op de website van het Riziv en in het Belgisch Staatsblad.  Het Riziv dient op zijn website ook een gecoördineerde tekst van de akkoorden te publiceren.  </w:t>
            </w:r>
          </w:p>
        </w:tc>
      </w:tr>
      <w:tr w:rsidR="00477C89" w:rsidRPr="00A827F1" w14:paraId="45395F86" w14:textId="77777777" w:rsidTr="005F50EE">
        <w:tc>
          <w:tcPr>
            <w:tcW w:w="5104" w:type="dxa"/>
          </w:tcPr>
          <w:p w14:paraId="5842532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37BF381"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5E5177" w14:paraId="2C84816C" w14:textId="77777777" w:rsidTr="005F50EE">
        <w:tc>
          <w:tcPr>
            <w:tcW w:w="5104" w:type="dxa"/>
          </w:tcPr>
          <w:p w14:paraId="0EFE92FE" w14:textId="47669993" w:rsidR="00477C89" w:rsidRPr="00DF4489" w:rsidRDefault="00477C89" w:rsidP="00477C89">
            <w:pPr>
              <w:spacing w:after="0" w:line="240" w:lineRule="auto"/>
              <w:jc w:val="center"/>
              <w:outlineLvl w:val="0"/>
              <w:rPr>
                <w:rFonts w:ascii="Arial" w:eastAsia="Times New Roman" w:hAnsi="Arial" w:cs="Arial"/>
                <w:lang w:val="nl-NL"/>
              </w:rPr>
            </w:pPr>
            <w:r w:rsidRPr="000852F1">
              <w:rPr>
                <w:rFonts w:ascii="Arial" w:eastAsia="Times New Roman" w:hAnsi="Arial" w:cs="Arial"/>
                <w:b/>
                <w:bCs/>
                <w:lang w:val="fr-FR"/>
              </w:rPr>
              <w:t>Art. X+</w:t>
            </w:r>
            <w:r>
              <w:rPr>
                <w:rFonts w:ascii="Arial" w:eastAsia="Times New Roman" w:hAnsi="Arial" w:cs="Arial"/>
                <w:b/>
                <w:bCs/>
                <w:lang w:val="fr-FR"/>
              </w:rPr>
              <w:t>31</w:t>
            </w:r>
          </w:p>
        </w:tc>
        <w:tc>
          <w:tcPr>
            <w:tcW w:w="5104" w:type="dxa"/>
          </w:tcPr>
          <w:p w14:paraId="5759D671" w14:textId="6B47B7E4" w:rsidR="00477C89" w:rsidRPr="00DF4489" w:rsidRDefault="00477C89" w:rsidP="00477C89">
            <w:pPr>
              <w:spacing w:after="0" w:line="240" w:lineRule="auto"/>
              <w:jc w:val="center"/>
              <w:outlineLvl w:val="0"/>
              <w:rPr>
                <w:rFonts w:ascii="Arial" w:eastAsia="Times New Roman" w:hAnsi="Arial" w:cs="Arial"/>
                <w:lang w:val="nl-NL"/>
              </w:rPr>
            </w:pPr>
            <w:r w:rsidRPr="000852F1">
              <w:rPr>
                <w:rFonts w:ascii="Arial" w:eastAsia="Times New Roman" w:hAnsi="Arial" w:cs="Arial"/>
                <w:b/>
                <w:bCs/>
                <w:lang w:val="nl-NL"/>
              </w:rPr>
              <w:t>Art. X+</w:t>
            </w:r>
            <w:r>
              <w:rPr>
                <w:rFonts w:ascii="Arial" w:eastAsia="Times New Roman" w:hAnsi="Arial" w:cs="Arial"/>
                <w:b/>
                <w:bCs/>
                <w:lang w:val="nl-NL"/>
              </w:rPr>
              <w:t>31</w:t>
            </w:r>
          </w:p>
        </w:tc>
      </w:tr>
      <w:tr w:rsidR="00477C89" w:rsidRPr="005E5177" w14:paraId="2B4F1F41" w14:textId="77777777" w:rsidTr="005F50EE">
        <w:tc>
          <w:tcPr>
            <w:tcW w:w="5104" w:type="dxa"/>
          </w:tcPr>
          <w:p w14:paraId="7265D3F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78097DF"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5DE6A93C" w14:textId="77777777" w:rsidTr="005F50EE">
        <w:tc>
          <w:tcPr>
            <w:tcW w:w="5104" w:type="dxa"/>
          </w:tcPr>
          <w:p w14:paraId="156EC0E8" w14:textId="77777777" w:rsidR="00477C89" w:rsidRPr="005E5177" w:rsidRDefault="00477C89" w:rsidP="00477C89">
            <w:pPr>
              <w:spacing w:after="0" w:line="240" w:lineRule="auto"/>
              <w:jc w:val="both"/>
              <w:outlineLvl w:val="0"/>
              <w:rPr>
                <w:rFonts w:ascii="Arial" w:eastAsia="Times New Roman" w:hAnsi="Arial" w:cs="Arial"/>
                <w:lang w:val="fr-FR"/>
              </w:rPr>
            </w:pPr>
            <w:r w:rsidRPr="000852F1">
              <w:rPr>
                <w:rFonts w:ascii="Arial" w:eastAsia="Times New Roman" w:hAnsi="Arial" w:cs="Arial"/>
                <w:lang w:val="fr-FR"/>
              </w:rPr>
              <w:t>Les références</w:t>
            </w:r>
            <w:r>
              <w:rPr>
                <w:rFonts w:ascii="Arial" w:eastAsia="Times New Roman" w:hAnsi="Arial" w:cs="Arial"/>
                <w:lang w:val="fr-FR"/>
              </w:rPr>
              <w:t>,</w:t>
            </w:r>
            <w:r w:rsidRPr="000852F1">
              <w:rPr>
                <w:rFonts w:ascii="Arial" w:eastAsia="Times New Roman" w:hAnsi="Arial" w:cs="Arial"/>
                <w:lang w:val="fr-FR"/>
              </w:rPr>
              <w:t xml:space="preserve"> </w:t>
            </w:r>
            <w:r>
              <w:rPr>
                <w:rFonts w:ascii="Arial" w:eastAsia="Times New Roman" w:hAnsi="Arial" w:cs="Arial"/>
                <w:lang w:val="fr-FR"/>
              </w:rPr>
              <w:t>dans</w:t>
            </w:r>
            <w:r w:rsidRPr="000852F1">
              <w:rPr>
                <w:rFonts w:ascii="Arial" w:eastAsia="Times New Roman" w:hAnsi="Arial" w:cs="Arial"/>
                <w:lang w:val="fr-FR"/>
              </w:rPr>
              <w:t xml:space="preserve"> l'article 52</w:t>
            </w:r>
            <w:r>
              <w:rPr>
                <w:rFonts w:ascii="Arial" w:eastAsia="Times New Roman" w:hAnsi="Arial" w:cs="Arial"/>
                <w:lang w:val="fr-FR"/>
              </w:rPr>
              <w:t>,</w:t>
            </w:r>
            <w:r w:rsidRPr="000852F1">
              <w:rPr>
                <w:rFonts w:ascii="Arial" w:eastAsia="Times New Roman" w:hAnsi="Arial" w:cs="Arial"/>
                <w:lang w:val="fr-FR"/>
              </w:rPr>
              <w:t xml:space="preserve"> aux </w:t>
            </w:r>
            <w:r>
              <w:rPr>
                <w:rFonts w:ascii="Arial" w:eastAsia="Times New Roman" w:hAnsi="Arial" w:cs="Arial"/>
                <w:lang w:val="fr-FR"/>
              </w:rPr>
              <w:t>« conventions »</w:t>
            </w:r>
            <w:r w:rsidRPr="000852F1">
              <w:rPr>
                <w:rFonts w:ascii="Arial" w:eastAsia="Times New Roman" w:hAnsi="Arial" w:cs="Arial"/>
                <w:lang w:val="fr-FR"/>
              </w:rPr>
              <w:t xml:space="preserve"> sont supprimées, </w:t>
            </w:r>
            <w:r>
              <w:rPr>
                <w:rFonts w:ascii="Arial" w:eastAsia="Times New Roman" w:hAnsi="Arial" w:cs="Arial"/>
                <w:lang w:val="fr-FR"/>
              </w:rPr>
              <w:t>étant donné qu’</w:t>
            </w:r>
            <w:r w:rsidRPr="000852F1">
              <w:rPr>
                <w:rFonts w:ascii="Arial" w:eastAsia="Times New Roman" w:hAnsi="Arial" w:cs="Arial"/>
                <w:lang w:val="fr-FR"/>
              </w:rPr>
              <w:t>il n'y aura désormais que des « accords ».</w:t>
            </w:r>
          </w:p>
        </w:tc>
        <w:tc>
          <w:tcPr>
            <w:tcW w:w="5104" w:type="dxa"/>
          </w:tcPr>
          <w:p w14:paraId="54EB31E9" w14:textId="77777777" w:rsidR="00477C89" w:rsidRPr="00DF4489" w:rsidRDefault="00477C89" w:rsidP="00477C89">
            <w:pPr>
              <w:spacing w:after="0" w:line="240" w:lineRule="auto"/>
              <w:jc w:val="both"/>
              <w:outlineLvl w:val="0"/>
              <w:rPr>
                <w:rFonts w:ascii="Arial" w:eastAsia="Times New Roman" w:hAnsi="Arial" w:cs="Arial"/>
                <w:lang w:val="nl-NL"/>
              </w:rPr>
            </w:pPr>
            <w:r>
              <w:rPr>
                <w:rFonts w:ascii="Arial" w:eastAsia="Times New Roman" w:hAnsi="Arial" w:cs="Arial"/>
                <w:lang w:val="nl-NL"/>
              </w:rPr>
              <w:t>De verwijzingen in artikel 52 naar “overeenkomsten” worden geschrapt, gezien er voortaan nog enkel sprake zal zijn van “akkoorden”.</w:t>
            </w:r>
          </w:p>
        </w:tc>
      </w:tr>
      <w:tr w:rsidR="00477C89" w:rsidRPr="00A827F1" w14:paraId="1C0A4374" w14:textId="77777777" w:rsidTr="005F50EE">
        <w:tc>
          <w:tcPr>
            <w:tcW w:w="5104" w:type="dxa"/>
          </w:tcPr>
          <w:p w14:paraId="74F74AB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DFA7293"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26A808A8" w14:textId="77777777" w:rsidTr="005F50EE">
        <w:tc>
          <w:tcPr>
            <w:tcW w:w="5104" w:type="dxa"/>
          </w:tcPr>
          <w:p w14:paraId="7C38F4A3" w14:textId="42B223BC"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+32</w:t>
            </w:r>
          </w:p>
        </w:tc>
        <w:tc>
          <w:tcPr>
            <w:tcW w:w="5104" w:type="dxa"/>
          </w:tcPr>
          <w:p w14:paraId="300E10D2" w14:textId="0B899C4F"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+32</w:t>
            </w:r>
          </w:p>
        </w:tc>
      </w:tr>
      <w:tr w:rsidR="00477C89" w:rsidRPr="004722CA" w14:paraId="3BAF6B00" w14:textId="77777777" w:rsidTr="005F50EE">
        <w:tc>
          <w:tcPr>
            <w:tcW w:w="5104" w:type="dxa"/>
          </w:tcPr>
          <w:p w14:paraId="6569FC00"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2DF56EFB"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558707F7" w14:textId="77777777" w:rsidTr="005F50EE">
        <w:tc>
          <w:tcPr>
            <w:tcW w:w="5104" w:type="dxa"/>
          </w:tcPr>
          <w:p w14:paraId="4A7D855E" w14:textId="766B2564" w:rsidR="00477C89" w:rsidRPr="00D978FA" w:rsidRDefault="00477C89" w:rsidP="00477C89">
            <w:pPr>
              <w:spacing w:after="0" w:line="240" w:lineRule="auto"/>
              <w:jc w:val="both"/>
              <w:outlineLvl w:val="0"/>
              <w:rPr>
                <w:rFonts w:ascii="Arial" w:eastAsia="Times New Roman" w:hAnsi="Arial" w:cs="Arial"/>
                <w:lang w:val="fr-FR"/>
              </w:rPr>
            </w:pPr>
            <w:r>
              <w:rPr>
                <w:rFonts w:ascii="Arial" w:eastAsia="Times New Roman" w:hAnsi="Arial" w:cs="Arial"/>
                <w:lang w:val="fr-FR"/>
              </w:rPr>
              <w:t>Le premier paragraphe du nouvel</w:t>
            </w:r>
            <w:r w:rsidRPr="00D978FA">
              <w:rPr>
                <w:rFonts w:ascii="Arial" w:eastAsia="Times New Roman" w:hAnsi="Arial" w:cs="Arial"/>
                <w:lang w:val="fr-FR"/>
              </w:rPr>
              <w:t xml:space="preserve"> article</w:t>
            </w:r>
            <w:r>
              <w:rPr>
                <w:rFonts w:ascii="Arial" w:eastAsia="Times New Roman" w:hAnsi="Arial" w:cs="Arial"/>
                <w:lang w:val="fr-FR"/>
              </w:rPr>
              <w:t xml:space="preserve"> 52/1</w:t>
            </w:r>
            <w:r w:rsidRPr="00D978FA">
              <w:rPr>
                <w:rFonts w:ascii="Arial" w:eastAsia="Times New Roman" w:hAnsi="Arial" w:cs="Arial"/>
                <w:lang w:val="fr-FR"/>
              </w:rPr>
              <w:t xml:space="preserve"> confirme le principe selon lequel les dispensateurs de soins qui n'ont pas notifié leur refus d'adhérer aux accords</w:t>
            </w:r>
            <w:r>
              <w:rPr>
                <w:rFonts w:ascii="Arial" w:eastAsia="Times New Roman" w:hAnsi="Arial" w:cs="Arial"/>
                <w:lang w:val="fr-FR"/>
              </w:rPr>
              <w:t xml:space="preserve"> </w:t>
            </w:r>
            <w:r w:rsidRPr="00D978FA">
              <w:rPr>
                <w:rFonts w:ascii="Arial" w:eastAsia="Times New Roman" w:hAnsi="Arial" w:cs="Arial"/>
                <w:lang w:val="fr-FR"/>
              </w:rPr>
              <w:t>ou documents selon la procédure prévue à cet effet, sont réputés y avoir adhéré de plein droit pour l'ensemble de leur activité professionnelle.</w:t>
            </w:r>
          </w:p>
          <w:p w14:paraId="4C7232D3" w14:textId="77777777" w:rsidR="00477C89" w:rsidRPr="00D978FA" w:rsidRDefault="00477C89" w:rsidP="00477C89">
            <w:pPr>
              <w:spacing w:after="0" w:line="240" w:lineRule="auto"/>
              <w:jc w:val="both"/>
              <w:outlineLvl w:val="0"/>
              <w:rPr>
                <w:rFonts w:ascii="Arial" w:eastAsia="Times New Roman" w:hAnsi="Arial" w:cs="Arial"/>
                <w:lang w:val="fr-FR"/>
              </w:rPr>
            </w:pPr>
          </w:p>
          <w:p w14:paraId="6EAB29CE" w14:textId="46379408"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376FC28A" w14:textId="621F7445" w:rsidR="00477C89" w:rsidRPr="00DF4489" w:rsidRDefault="00477C89" w:rsidP="00477C89">
            <w:pPr>
              <w:spacing w:after="0" w:line="240" w:lineRule="auto"/>
              <w:jc w:val="both"/>
              <w:outlineLvl w:val="0"/>
              <w:rPr>
                <w:rFonts w:ascii="Arial" w:eastAsia="Times New Roman" w:hAnsi="Arial" w:cs="Arial"/>
                <w:lang w:val="nl-NL"/>
              </w:rPr>
            </w:pPr>
            <w:r>
              <w:rPr>
                <w:rFonts w:ascii="Arial" w:eastAsia="Times New Roman" w:hAnsi="Arial" w:cs="Arial"/>
                <w:lang w:val="nl-NL"/>
              </w:rPr>
              <w:t>De eerste paragraaf van het nieuwe</w:t>
            </w:r>
            <w:r w:rsidRPr="00EF1765">
              <w:rPr>
                <w:rFonts w:ascii="Arial" w:eastAsia="Times New Roman" w:hAnsi="Arial" w:cs="Arial"/>
                <w:lang w:val="nl-NL"/>
              </w:rPr>
              <w:t xml:space="preserve"> artikel </w:t>
            </w:r>
            <w:r>
              <w:rPr>
                <w:rFonts w:ascii="Arial" w:eastAsia="Times New Roman" w:hAnsi="Arial" w:cs="Arial"/>
                <w:lang w:val="nl-NL"/>
              </w:rPr>
              <w:t xml:space="preserve">52/1 </w:t>
            </w:r>
            <w:r w:rsidRPr="00EF1765">
              <w:rPr>
                <w:rFonts w:ascii="Arial" w:eastAsia="Times New Roman" w:hAnsi="Arial" w:cs="Arial"/>
                <w:lang w:val="nl-NL"/>
              </w:rPr>
              <w:t>bevestigt het principe dat de zorgverleners die geen kennis hebben gegeven van hun weigering tot toetreding tot de akkoorden of de documenten volgens de daartoe voorziene procedure, van rechtswege worden geacht tot die akkoorden of documenten te zijn toegetreden voor hun volledige beroepsactiviteit.</w:t>
            </w:r>
          </w:p>
        </w:tc>
      </w:tr>
      <w:tr w:rsidR="00477C89" w:rsidRPr="00A827F1" w14:paraId="4F6EDDAF" w14:textId="77777777" w:rsidTr="005F50EE">
        <w:tc>
          <w:tcPr>
            <w:tcW w:w="5104" w:type="dxa"/>
          </w:tcPr>
          <w:p w14:paraId="384974C9"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51205A1"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079FC5F" w14:textId="77777777" w:rsidTr="005F50EE">
        <w:tc>
          <w:tcPr>
            <w:tcW w:w="5104" w:type="dxa"/>
          </w:tcPr>
          <w:p w14:paraId="13519AD3" w14:textId="2495C707"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 xml:space="preserve">Le deuxième paragraphe reprend les dispositions de l’actuel article 50, § 3bis, qui prévoit que les tarifs résultant de la nomenclature sont les honoraires maximaux qui peuvent être demandés pour les prestations fournies dans le cadre de consultations hospitalières, si le bénéficiaire n'a pas été expressément informé au préalable par l'établissement de soins de l’adhésion ou non du dispensateurs de soins </w:t>
            </w:r>
            <w:r>
              <w:rPr>
                <w:rFonts w:ascii="Arial" w:eastAsia="Times New Roman" w:hAnsi="Arial" w:cs="Arial"/>
                <w:lang w:val="fr-FR"/>
              </w:rPr>
              <w:t xml:space="preserve">aux accords ou aux documents </w:t>
            </w:r>
            <w:r w:rsidRPr="00D978FA">
              <w:rPr>
                <w:rFonts w:ascii="Arial" w:eastAsia="Times New Roman" w:hAnsi="Arial" w:cs="Arial"/>
                <w:lang w:val="fr-FR"/>
              </w:rPr>
              <w:t>au moment où les soins sont fournis.</w:t>
            </w:r>
            <w:r w:rsidRPr="0063002C">
              <w:rPr>
                <w:rFonts w:ascii="Arial" w:eastAsia="Times New Roman" w:hAnsi="Arial" w:cs="Arial"/>
                <w:lang w:val="fr-FR"/>
              </w:rPr>
              <w:t xml:space="preserve"> Les médecins et les dentistes qui n'ont pas notifié leur refus d’adhésion sont également réputés de plein droit avoir adhéré pour l’ensemble de leur activité professionnelle, à moins qu’ils aient indiqué vouloir se conventionner uniquement partiellement.</w:t>
            </w:r>
            <w:r w:rsidR="007D025D" w:rsidRPr="007D025D">
              <w:rPr>
                <w:rFonts w:ascii="Arial" w:eastAsia="Times New Roman" w:hAnsi="Arial" w:cs="Arial"/>
                <w:lang w:val="fr-FR"/>
              </w:rPr>
              <w:t xml:space="preserve"> Le moment où le patient a rendez-vous est déterminant pour décider si les tarifs conventionnels doivent être respectés ou non.</w:t>
            </w:r>
          </w:p>
        </w:tc>
        <w:tc>
          <w:tcPr>
            <w:tcW w:w="5104" w:type="dxa"/>
          </w:tcPr>
          <w:p w14:paraId="3CAD53F0" w14:textId="146D046A" w:rsidR="00477C89" w:rsidRPr="00DF4489" w:rsidRDefault="00477C89" w:rsidP="00477C89">
            <w:pPr>
              <w:spacing w:after="0" w:line="240" w:lineRule="auto"/>
              <w:jc w:val="both"/>
              <w:outlineLvl w:val="0"/>
              <w:rPr>
                <w:rFonts w:ascii="Arial" w:eastAsia="Times New Roman" w:hAnsi="Arial" w:cs="Arial"/>
                <w:lang w:val="nl-NL"/>
              </w:rPr>
            </w:pPr>
            <w:r w:rsidRPr="00EF1765">
              <w:rPr>
                <w:rFonts w:ascii="Arial" w:eastAsia="Times New Roman" w:hAnsi="Arial" w:cs="Arial"/>
                <w:lang w:val="nl-NL"/>
              </w:rPr>
              <w:t xml:space="preserve">De tweede paragraaf herneemt de bepalingen van het huidige artikel 50, § 3bis, waarin wordt bepaald dat  de uit de nomenclatuur voortvloeiende tarieven de maximumhonoraria zijn die kunnen worden geëist voor verstrekkingen verleend in het raam van raadplegingen in een ziekenhuis, indien de rechthebbende niet voorafgaandelijk door de verplegingsinrichting uitdrukkelijk werd geïnformeerd aangaande het al dan niet toegetreden zijn van de zorgverlener </w:t>
            </w:r>
            <w:r w:rsidRPr="00B3003D">
              <w:rPr>
                <w:rFonts w:ascii="Arial" w:eastAsia="Times New Roman" w:hAnsi="Arial" w:cs="Arial"/>
                <w:lang w:val="nl-NL"/>
              </w:rPr>
              <w:t xml:space="preserve">tot de akkoorden of de documenten </w:t>
            </w:r>
            <w:r w:rsidRPr="00EF1765">
              <w:rPr>
                <w:rFonts w:ascii="Arial" w:eastAsia="Times New Roman" w:hAnsi="Arial" w:cs="Arial"/>
                <w:lang w:val="nl-NL"/>
              </w:rPr>
              <w:t>op het ogenblik dat de zorgen worden verleend.</w:t>
            </w:r>
            <w:r>
              <w:rPr>
                <w:rFonts w:ascii="Arial" w:eastAsia="Times New Roman" w:hAnsi="Arial" w:cs="Arial"/>
                <w:lang w:val="nl-NL"/>
              </w:rPr>
              <w:t xml:space="preserve"> De artsen en de tandartsen die geen kennis hebben gegeven van hun weigering tot toetreding, worden eveneens van rechtswege geacht te zijn toegetreden voor hun volledige beroepsactiviteit, tenzij ze hebben aangegeven zich slechts gedeeltelijk te willen conventioneren.</w:t>
            </w:r>
            <w:r w:rsidR="00FF120E" w:rsidRPr="00FF120E">
              <w:rPr>
                <w:lang w:val="nl-NL"/>
              </w:rPr>
              <w:t xml:space="preserve"> </w:t>
            </w:r>
            <w:r w:rsidR="00FF120E" w:rsidRPr="00FF120E">
              <w:rPr>
                <w:rFonts w:ascii="Arial" w:eastAsia="Times New Roman" w:hAnsi="Arial" w:cs="Arial"/>
                <w:lang w:val="nl-NL"/>
              </w:rPr>
              <w:t>Het tijdstip waarop de patiënt een afspraak heeft is determinerend om te bepalen of de conventietarieven al dan niet moeten worden nageleefd.</w:t>
            </w:r>
          </w:p>
        </w:tc>
      </w:tr>
      <w:tr w:rsidR="00477C89" w:rsidRPr="00A827F1" w14:paraId="22D2D0DA" w14:textId="77777777" w:rsidTr="005F50EE">
        <w:tc>
          <w:tcPr>
            <w:tcW w:w="5104" w:type="dxa"/>
          </w:tcPr>
          <w:p w14:paraId="71D98C68"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1EC5702"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62C4F001" w14:textId="77777777" w:rsidTr="005F50EE">
        <w:tc>
          <w:tcPr>
            <w:tcW w:w="5104" w:type="dxa"/>
          </w:tcPr>
          <w:p w14:paraId="772FAD61" w14:textId="25EEE9AA"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+33</w:t>
            </w:r>
          </w:p>
        </w:tc>
        <w:tc>
          <w:tcPr>
            <w:tcW w:w="5104" w:type="dxa"/>
          </w:tcPr>
          <w:p w14:paraId="7B1B5626" w14:textId="24A674B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+33</w:t>
            </w:r>
          </w:p>
        </w:tc>
      </w:tr>
      <w:tr w:rsidR="00477C89" w:rsidRPr="004722CA" w14:paraId="22AF73F9" w14:textId="77777777" w:rsidTr="005F50EE">
        <w:tc>
          <w:tcPr>
            <w:tcW w:w="5104" w:type="dxa"/>
          </w:tcPr>
          <w:p w14:paraId="3344F526"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777D72F1"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2476E21" w14:textId="77777777" w:rsidTr="005F50EE">
        <w:tc>
          <w:tcPr>
            <w:tcW w:w="5104" w:type="dxa"/>
          </w:tcPr>
          <w:p w14:paraId="3029129B" w14:textId="797DCDFF" w:rsidR="00477C89" w:rsidRPr="00D978FA" w:rsidRDefault="00477C89" w:rsidP="00477C89">
            <w:pPr>
              <w:spacing w:after="0" w:line="240" w:lineRule="auto"/>
              <w:jc w:val="both"/>
              <w:outlineLvl w:val="0"/>
              <w:rPr>
                <w:rFonts w:ascii="Arial" w:eastAsia="Times New Roman" w:hAnsi="Arial" w:cs="Arial"/>
                <w:lang w:val="fr-FR"/>
              </w:rPr>
            </w:pPr>
            <w:r>
              <w:rPr>
                <w:rFonts w:ascii="Arial" w:eastAsia="Times New Roman" w:hAnsi="Arial" w:cs="Arial"/>
                <w:lang w:val="fr-FR"/>
              </w:rPr>
              <w:t>Le nouvel</w:t>
            </w:r>
            <w:r w:rsidRPr="00D978FA">
              <w:rPr>
                <w:rFonts w:ascii="Arial" w:eastAsia="Times New Roman" w:hAnsi="Arial" w:cs="Arial"/>
                <w:lang w:val="fr-FR"/>
              </w:rPr>
              <w:t xml:space="preserve"> article</w:t>
            </w:r>
            <w:r>
              <w:rPr>
                <w:rFonts w:ascii="Arial" w:eastAsia="Times New Roman" w:hAnsi="Arial" w:cs="Arial"/>
                <w:lang w:val="fr-FR"/>
              </w:rPr>
              <w:t xml:space="preserve"> 52/2</w:t>
            </w:r>
            <w:r w:rsidRPr="00D978FA">
              <w:rPr>
                <w:rFonts w:ascii="Arial" w:eastAsia="Times New Roman" w:hAnsi="Arial" w:cs="Arial"/>
                <w:lang w:val="fr-FR"/>
              </w:rPr>
              <w:t xml:space="preserve"> prévoit que l’intervention financière que l’INAMI paye aux dispensateurs de soins ne seront octroyées qu’aux dispensateurs de soins qui ont adhéré aux accords </w:t>
            </w:r>
            <w:r>
              <w:rPr>
                <w:rFonts w:ascii="Arial" w:eastAsia="Times New Roman" w:hAnsi="Arial" w:cs="Arial"/>
                <w:lang w:val="fr-FR"/>
              </w:rPr>
              <w:t xml:space="preserve">ou aux documents </w:t>
            </w:r>
            <w:r w:rsidRPr="00D978FA">
              <w:rPr>
                <w:rFonts w:ascii="Arial" w:eastAsia="Times New Roman" w:hAnsi="Arial" w:cs="Arial"/>
                <w:lang w:val="fr-FR"/>
              </w:rPr>
              <w:t>les concernant en s'engageant à assurer la sécurité tarifaire.</w:t>
            </w:r>
            <w:r w:rsidRPr="0050339E">
              <w:rPr>
                <w:rFonts w:ascii="Arial" w:eastAsia="Times New Roman" w:hAnsi="Arial" w:cs="Arial"/>
                <w:lang w:val="fr-FR"/>
              </w:rPr>
              <w:t xml:space="preserve"> Les interventions financières visent à encourager les dispensateurs de soins à adhérer aux accords</w:t>
            </w:r>
            <w:r>
              <w:rPr>
                <w:rFonts w:ascii="Arial" w:eastAsia="Times New Roman" w:hAnsi="Arial" w:cs="Arial"/>
                <w:lang w:val="fr-FR"/>
              </w:rPr>
              <w:t xml:space="preserve"> ou documents</w:t>
            </w:r>
            <w:r w:rsidRPr="0050339E">
              <w:rPr>
                <w:rFonts w:ascii="Arial" w:eastAsia="Times New Roman" w:hAnsi="Arial" w:cs="Arial"/>
                <w:lang w:val="fr-FR"/>
              </w:rPr>
              <w:t>, mais sont également destinées à récompenser la responsabilité collective du secteur en matière de respect des tarifs. Si un accord ou un document ne peut pas entrer en vigueur, aucune intervention ne peut être accordée.</w:t>
            </w:r>
          </w:p>
        </w:tc>
        <w:tc>
          <w:tcPr>
            <w:tcW w:w="5104" w:type="dxa"/>
          </w:tcPr>
          <w:p w14:paraId="32BB9B74" w14:textId="774465C5" w:rsidR="00477C89" w:rsidRPr="0050339E" w:rsidRDefault="00477C89" w:rsidP="00477C89">
            <w:pPr>
              <w:spacing w:after="0" w:line="240" w:lineRule="auto"/>
              <w:jc w:val="both"/>
              <w:outlineLvl w:val="0"/>
              <w:rPr>
                <w:rFonts w:ascii="Arial" w:eastAsia="Times New Roman" w:hAnsi="Arial" w:cs="Arial"/>
                <w:lang w:val="nl-NL"/>
              </w:rPr>
            </w:pPr>
            <w:r w:rsidRPr="0050339E">
              <w:rPr>
                <w:rFonts w:ascii="Arial" w:eastAsia="Times New Roman" w:hAnsi="Arial" w:cs="Arial"/>
                <w:lang w:val="nl-NL"/>
              </w:rPr>
              <w:t>Het nieuwe artikel 52/2 bepaalt dat de financiële tegemoetkomingen    die het Riziv aan zorgverleners betaalt enkel worden toegekend aan de zorgverleners die als verbintenis tot het garanderen van tariefzekerheid zijn toegetreden tot de hen betreffende akkoorden of documenten.</w:t>
            </w:r>
            <w:r w:rsidRPr="0050339E">
              <w:rPr>
                <w:lang w:val="nl-NL"/>
              </w:rPr>
              <w:t xml:space="preserve"> </w:t>
            </w:r>
            <w:r w:rsidRPr="0050339E">
              <w:rPr>
                <w:rFonts w:ascii="Arial" w:eastAsia="Times New Roman" w:hAnsi="Arial" w:cs="Arial"/>
                <w:lang w:val="nl-NL"/>
              </w:rPr>
              <w:t>De financiële tegemoetkomingen beogen de zorgverleners aan te moedigen om toe te treden tot de akkoorden of documenten maar zijn ook bedoeld als beloning voor de collectieve verantwoordelijkheid van de sector om de tarieven te respecteren. Als er geen akkoord of document in werking kan treden, kunnen er ook geen tegemoetkomingen worden toegekend.</w:t>
            </w:r>
          </w:p>
        </w:tc>
      </w:tr>
      <w:tr w:rsidR="00477C89" w:rsidRPr="00A827F1" w14:paraId="17EC763A" w14:textId="77777777" w:rsidTr="005F50EE">
        <w:tc>
          <w:tcPr>
            <w:tcW w:w="5104" w:type="dxa"/>
          </w:tcPr>
          <w:p w14:paraId="7773E58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34395E89"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1D505EBC" w14:textId="77777777" w:rsidTr="005F50EE">
        <w:tc>
          <w:tcPr>
            <w:tcW w:w="5104" w:type="dxa"/>
          </w:tcPr>
          <w:p w14:paraId="249A6FD9" w14:textId="41EE9448"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Ceci comprend les interventions suivantes :</w:t>
            </w:r>
          </w:p>
          <w:p w14:paraId="2F3E65B3" w14:textId="78BB70FC"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Art 36sexies prime télématique</w:t>
            </w:r>
          </w:p>
          <w:p w14:paraId="0CDE64EE" w14:textId="77777777"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Art 36octies coûts liés à l’organisation d’une pratique</w:t>
            </w:r>
          </w:p>
          <w:p w14:paraId="0E0CEC5E" w14:textId="77777777"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Art 36undecies prime informatique pour les pharmaciens</w:t>
            </w:r>
          </w:p>
          <w:p w14:paraId="0D12E3E6" w14:textId="77777777" w:rsidR="00477C89"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Art 36quinquiesdecies intervention pour les charges administratives aux infirmiers et aux aides-soignants</w:t>
            </w:r>
          </w:p>
          <w:p w14:paraId="4000EB01" w14:textId="6FF8C3C6" w:rsidR="00477C89" w:rsidRPr="00D978FA" w:rsidRDefault="00477C89" w:rsidP="00477C89">
            <w:pPr>
              <w:spacing w:after="0" w:line="240" w:lineRule="auto"/>
              <w:jc w:val="both"/>
              <w:outlineLvl w:val="0"/>
              <w:rPr>
                <w:rFonts w:ascii="Arial" w:eastAsia="Times New Roman" w:hAnsi="Arial" w:cs="Arial"/>
                <w:lang w:val="fr-FR"/>
              </w:rPr>
            </w:pPr>
            <w:r>
              <w:rPr>
                <w:rFonts w:ascii="Arial" w:eastAsia="Times New Roman" w:hAnsi="Arial" w:cs="Arial"/>
                <w:lang w:val="fr-FR"/>
              </w:rPr>
              <w:t>Art 59quater de la loi-programme du 2 janvier 2001 prime de formation des infirmiers</w:t>
            </w:r>
          </w:p>
        </w:tc>
        <w:tc>
          <w:tcPr>
            <w:tcW w:w="5104" w:type="dxa"/>
          </w:tcPr>
          <w:p w14:paraId="5A2B07DA" w14:textId="777D96F0"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 xml:space="preserve">Het gaat om de volgende tegemoetkomingen: </w:t>
            </w:r>
          </w:p>
          <w:p w14:paraId="54E6A0FE" w14:textId="2D0CFAE9"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Art 36sexies telematicapremie</w:t>
            </w:r>
          </w:p>
          <w:p w14:paraId="1CBB91E4" w14:textId="0ABBB716"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Art 36octies kosten organisatie praktijk</w:t>
            </w:r>
          </w:p>
          <w:p w14:paraId="11463AC0" w14:textId="73459788"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Art 36undecies informaticapremie apothekers</w:t>
            </w:r>
          </w:p>
          <w:p w14:paraId="4438DDFF" w14:textId="77777777"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Art 36quinquiesdecies tussenkomst bij administratieve lasten voor zelfstandige verpleegkundigen en zorgkundigen</w:t>
            </w:r>
          </w:p>
          <w:p w14:paraId="7E444D24" w14:textId="13FDBDC8"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Art 59quater van de programmawet van 2 januari 2001 opleidingspremie verpleegkundigen</w:t>
            </w:r>
          </w:p>
        </w:tc>
      </w:tr>
      <w:tr w:rsidR="00477C89" w:rsidRPr="00A827F1" w14:paraId="7E002817" w14:textId="77777777" w:rsidTr="005F50EE">
        <w:tc>
          <w:tcPr>
            <w:tcW w:w="5104" w:type="dxa"/>
          </w:tcPr>
          <w:p w14:paraId="208E6F1C"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3494C48"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0A498582" w14:textId="77777777" w:rsidTr="005F50EE">
        <w:tc>
          <w:tcPr>
            <w:tcW w:w="5104" w:type="dxa"/>
          </w:tcPr>
          <w:p w14:paraId="5301D8DF" w14:textId="3AB4ABA9" w:rsidR="00477C89" w:rsidRPr="0063002C" w:rsidRDefault="00477C89" w:rsidP="00477C89">
            <w:pPr>
              <w:spacing w:after="0" w:line="240" w:lineRule="auto"/>
              <w:jc w:val="both"/>
              <w:outlineLvl w:val="0"/>
              <w:rPr>
                <w:rFonts w:ascii="Arial" w:eastAsia="Times New Roman" w:hAnsi="Arial" w:cs="Arial"/>
                <w:lang w:val="fr-FR"/>
              </w:rPr>
            </w:pPr>
            <w:r w:rsidRPr="0063002C">
              <w:rPr>
                <w:rFonts w:ascii="Arial" w:eastAsia="Times New Roman" w:hAnsi="Arial" w:cs="Arial"/>
                <w:lang w:val="fr-FR"/>
              </w:rPr>
              <w:t>Les interventions pour l’accréditation et la qualité ne sont pas visées par cette disposition et peuvent donc être accordées à tous les dispensateurs de soins, quel que soit leur statut de conventionnement. Par contre, les interventions de soutien sont réservées aux dispensateurs de soins conventionnés. Si le dispensateur de soins n’est conventionné que pendant une période déterminée de l’année, les interventions peuvent être accordées au prorata. Les interventions accordées aux médecins et aux dentistes partiellement conventionnés peuvent également être accordées en fonction du rapport entre leurs prestations conventionné</w:t>
            </w:r>
            <w:r>
              <w:rPr>
                <w:rFonts w:ascii="Arial" w:eastAsia="Times New Roman" w:hAnsi="Arial" w:cs="Arial"/>
                <w:lang w:val="fr-FR"/>
              </w:rPr>
              <w:t>e</w:t>
            </w:r>
            <w:r w:rsidRPr="0063002C">
              <w:rPr>
                <w:rFonts w:ascii="Arial" w:eastAsia="Times New Roman" w:hAnsi="Arial" w:cs="Arial"/>
                <w:lang w:val="fr-FR"/>
              </w:rPr>
              <w:t>s et non conventionnées.</w:t>
            </w:r>
          </w:p>
        </w:tc>
        <w:tc>
          <w:tcPr>
            <w:tcW w:w="5104" w:type="dxa"/>
          </w:tcPr>
          <w:p w14:paraId="08E9BECD" w14:textId="0187546B" w:rsidR="00477C89" w:rsidRPr="00DF4489" w:rsidRDefault="00477C89" w:rsidP="00477C89">
            <w:pPr>
              <w:spacing w:after="0" w:line="240" w:lineRule="auto"/>
              <w:jc w:val="both"/>
              <w:outlineLvl w:val="0"/>
              <w:rPr>
                <w:rFonts w:ascii="Arial" w:eastAsia="Times New Roman" w:hAnsi="Arial" w:cs="Arial"/>
                <w:lang w:val="nl-NL"/>
              </w:rPr>
            </w:pPr>
            <w:r w:rsidRPr="00E11D3F">
              <w:rPr>
                <w:rFonts w:ascii="Arial" w:eastAsia="Times New Roman" w:hAnsi="Arial" w:cs="Arial"/>
                <w:lang w:val="nl-NL"/>
              </w:rPr>
              <w:t>De tegemoetkomingen voor accreditering en kwaliteit worden niet beoogd door deze bepaling en kunnen dus aan alle zorgverleners worden toegekend, ongeacht hun conventiestatuut. De tegemoetkomingen voor ondersteuning worden daarentegen voorbehouden aan geconventioneerde zorgverleners. Als de zorgverlener slechts gedurende een bepaalde periode van het jaar geconventioneerd is, kunnen de tegemoetkomingen pro rata worden toegekend. Ook de tegemoetkomingen die worden toegekend aan gedeeltelijk geconventioneerde artsen en tandartsen kunnen worden toegekend in functie van de verhouding tussen hun geconventioneerde en niet-geconventioneerde prestaties.</w:t>
            </w:r>
          </w:p>
        </w:tc>
      </w:tr>
      <w:tr w:rsidR="00477C89" w:rsidRPr="00A827F1" w14:paraId="49CF9E1D" w14:textId="77777777" w:rsidTr="005F50EE">
        <w:tc>
          <w:tcPr>
            <w:tcW w:w="5104" w:type="dxa"/>
          </w:tcPr>
          <w:p w14:paraId="2F4F012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04EB16A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17078FE5" w14:textId="77777777" w:rsidTr="005F50EE">
        <w:tc>
          <w:tcPr>
            <w:tcW w:w="5104" w:type="dxa"/>
          </w:tcPr>
          <w:p w14:paraId="3DE7EB31" w14:textId="7B89CE45"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+34</w:t>
            </w:r>
          </w:p>
        </w:tc>
        <w:tc>
          <w:tcPr>
            <w:tcW w:w="5104" w:type="dxa"/>
          </w:tcPr>
          <w:p w14:paraId="05368135" w14:textId="59205217"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+34</w:t>
            </w:r>
          </w:p>
        </w:tc>
      </w:tr>
      <w:tr w:rsidR="00477C89" w:rsidRPr="00404570" w14:paraId="0A8C8522" w14:textId="77777777" w:rsidTr="005F50EE">
        <w:tc>
          <w:tcPr>
            <w:tcW w:w="5104" w:type="dxa"/>
          </w:tcPr>
          <w:p w14:paraId="250C04BE"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591EB82D"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671CBACB" w14:textId="77777777" w:rsidTr="005F50EE">
        <w:tc>
          <w:tcPr>
            <w:tcW w:w="5104" w:type="dxa"/>
          </w:tcPr>
          <w:p w14:paraId="000943FF" w14:textId="49454664" w:rsidR="00477C89" w:rsidRPr="00D978FA" w:rsidRDefault="00477C89" w:rsidP="00477C89">
            <w:pPr>
              <w:spacing w:after="0" w:line="240" w:lineRule="auto"/>
              <w:jc w:val="both"/>
              <w:outlineLvl w:val="0"/>
              <w:rPr>
                <w:rFonts w:ascii="Arial" w:eastAsia="Times New Roman" w:hAnsi="Arial" w:cs="Arial"/>
                <w:lang w:val="fr-FR"/>
              </w:rPr>
            </w:pPr>
            <w:r w:rsidRPr="00D978FA">
              <w:rPr>
                <w:rFonts w:ascii="Arial" w:eastAsia="Times New Roman" w:hAnsi="Arial" w:cs="Arial"/>
                <w:lang w:val="fr-FR"/>
              </w:rPr>
              <w:t>Cet article modifie l’article 37sexies de la loi coordonnée de sorte que les dépassements maximums d’honoraires et de prix autorisés (tarifs indicatifs) dans le cadre des accords</w:t>
            </w:r>
            <w:r w:rsidRPr="0050339E">
              <w:rPr>
                <w:lang w:val="fr-FR"/>
              </w:rPr>
              <w:t xml:space="preserve"> </w:t>
            </w:r>
            <w:r w:rsidRPr="0050339E">
              <w:rPr>
                <w:rFonts w:ascii="Arial" w:eastAsia="Times New Roman" w:hAnsi="Arial" w:cs="Arial"/>
                <w:lang w:val="fr-FR"/>
              </w:rPr>
              <w:t xml:space="preserve">ou documents, pour les dispensateurs de soins qui ont </w:t>
            </w:r>
            <w:r w:rsidRPr="0050339E">
              <w:rPr>
                <w:rFonts w:ascii="Arial" w:eastAsia="Times New Roman" w:hAnsi="Arial" w:cs="Arial"/>
                <w:lang w:val="fr-FR"/>
              </w:rPr>
              <w:lastRenderedPageBreak/>
              <w:t>adhéré aux accords ou aux documents,</w:t>
            </w:r>
            <w:r w:rsidRPr="00D978FA">
              <w:rPr>
                <w:rFonts w:ascii="Arial" w:eastAsia="Times New Roman" w:hAnsi="Arial" w:cs="Arial"/>
                <w:lang w:val="fr-FR"/>
              </w:rPr>
              <w:t xml:space="preserve"> sont repris dans le maximum à facturer.</w:t>
            </w:r>
            <w:r w:rsidRPr="00A45A79">
              <w:rPr>
                <w:lang w:val="fr-FR"/>
              </w:rPr>
              <w:t xml:space="preserve"> </w:t>
            </w:r>
            <w:r w:rsidRPr="00A45A79">
              <w:rPr>
                <w:rFonts w:ascii="Arial" w:eastAsia="Times New Roman" w:hAnsi="Arial" w:cs="Arial"/>
                <w:lang w:val="fr-FR"/>
              </w:rPr>
              <w:t>La disposition actuelle vise uniquement les tarifs indicatifs pour les prothèses dentaires amovibles, qui sont entretemps intégrées dans la nomenclature.</w:t>
            </w:r>
          </w:p>
        </w:tc>
        <w:tc>
          <w:tcPr>
            <w:tcW w:w="5104" w:type="dxa"/>
          </w:tcPr>
          <w:p w14:paraId="7E82484D" w14:textId="58E09226" w:rsidR="00477C89" w:rsidRPr="00DF4489" w:rsidRDefault="00477C89" w:rsidP="00477C89">
            <w:pPr>
              <w:spacing w:after="0" w:line="240" w:lineRule="auto"/>
              <w:jc w:val="both"/>
              <w:outlineLvl w:val="0"/>
              <w:rPr>
                <w:rFonts w:ascii="Arial" w:eastAsia="Times New Roman" w:hAnsi="Arial" w:cs="Arial"/>
                <w:lang w:val="nl-NL"/>
              </w:rPr>
            </w:pPr>
            <w:r w:rsidRPr="00404570">
              <w:rPr>
                <w:rFonts w:ascii="Arial" w:eastAsia="Times New Roman" w:hAnsi="Arial" w:cs="Arial"/>
                <w:lang w:val="nl-NL"/>
              </w:rPr>
              <w:lastRenderedPageBreak/>
              <w:t xml:space="preserve">Dit artikel wijzigt artikel 37sexies van de gecoördineerde wet zodat de in het kader van de akkoorden </w:t>
            </w:r>
            <w:r>
              <w:rPr>
                <w:rFonts w:ascii="Arial" w:eastAsia="Times New Roman" w:hAnsi="Arial" w:cs="Arial"/>
                <w:lang w:val="nl-NL"/>
              </w:rPr>
              <w:t xml:space="preserve">of documenten </w:t>
            </w:r>
            <w:r w:rsidRPr="00404570">
              <w:rPr>
                <w:rFonts w:ascii="Arial" w:eastAsia="Times New Roman" w:hAnsi="Arial" w:cs="Arial"/>
                <w:lang w:val="nl-NL"/>
              </w:rPr>
              <w:t xml:space="preserve">toegestane  maximale overschrijdingen van de honoraria en prijzen </w:t>
            </w:r>
            <w:r w:rsidRPr="00E257C8">
              <w:rPr>
                <w:rFonts w:ascii="Arial" w:eastAsia="Times New Roman" w:hAnsi="Arial" w:cs="Arial"/>
                <w:lang w:val="nl-NL"/>
              </w:rPr>
              <w:t xml:space="preserve">voor de zorgverleners die tot die akkoorden of </w:t>
            </w:r>
            <w:r w:rsidRPr="00E257C8">
              <w:rPr>
                <w:rFonts w:ascii="Arial" w:eastAsia="Times New Roman" w:hAnsi="Arial" w:cs="Arial"/>
                <w:lang w:val="nl-NL"/>
              </w:rPr>
              <w:lastRenderedPageBreak/>
              <w:t xml:space="preserve">documenten zijn toegetreden </w:t>
            </w:r>
            <w:r w:rsidRPr="00404570">
              <w:rPr>
                <w:rFonts w:ascii="Arial" w:eastAsia="Times New Roman" w:hAnsi="Arial" w:cs="Arial"/>
                <w:lang w:val="nl-NL"/>
              </w:rPr>
              <w:t>(richttarieven) worden opgenomen in de maximumfactuur.</w:t>
            </w:r>
            <w:r w:rsidRPr="00A45A79">
              <w:rPr>
                <w:lang w:val="nl-NL"/>
              </w:rPr>
              <w:t xml:space="preserve"> </w:t>
            </w:r>
            <w:r w:rsidRPr="00A45A79">
              <w:rPr>
                <w:rFonts w:ascii="Arial" w:eastAsia="Times New Roman" w:hAnsi="Arial" w:cs="Arial"/>
                <w:lang w:val="nl-NL"/>
              </w:rPr>
              <w:t>De huidige bepaling beoogt enkel de richttarieven voor uitneembare tandprothesen, die ondertussen zijn geïntegreerd in de nomenclatuur.</w:t>
            </w:r>
          </w:p>
        </w:tc>
      </w:tr>
      <w:tr w:rsidR="00477C89" w:rsidRPr="00A827F1" w14:paraId="74F7EBE2" w14:textId="77777777" w:rsidTr="005F50EE">
        <w:tc>
          <w:tcPr>
            <w:tcW w:w="5104" w:type="dxa"/>
          </w:tcPr>
          <w:p w14:paraId="2C1BE5F7"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4551FA30"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78E5" w14:paraId="002644BC" w14:textId="77777777" w:rsidTr="005F50EE">
        <w:tc>
          <w:tcPr>
            <w:tcW w:w="5104" w:type="dxa"/>
          </w:tcPr>
          <w:p w14:paraId="2E0619F0" w14:textId="63E8DF11" w:rsidR="00477C89" w:rsidRPr="00D978FA" w:rsidRDefault="00477C89" w:rsidP="00477C89">
            <w:pPr>
              <w:spacing w:after="0" w:line="240" w:lineRule="auto"/>
              <w:jc w:val="center"/>
              <w:outlineLvl w:val="0"/>
              <w:rPr>
                <w:rFonts w:ascii="Arial" w:eastAsia="Times New Roman" w:hAnsi="Arial" w:cs="Arial"/>
                <w:lang w:val="fr-FR"/>
              </w:rPr>
            </w:pPr>
            <w:bookmarkStart w:id="3" w:name="_Hlk195788933"/>
            <w:r w:rsidRPr="007D3D63">
              <w:rPr>
                <w:rFonts w:ascii="Arial" w:eastAsia="Times New Roman" w:hAnsi="Arial" w:cs="Arial"/>
                <w:b/>
                <w:bCs/>
                <w:lang w:val="nl-NL"/>
              </w:rPr>
              <w:t>Art. X+</w:t>
            </w:r>
            <w:r>
              <w:rPr>
                <w:rFonts w:ascii="Arial" w:eastAsia="Times New Roman" w:hAnsi="Arial" w:cs="Arial"/>
                <w:b/>
                <w:bCs/>
                <w:lang w:val="nl-NL"/>
              </w:rPr>
              <w:t>35</w:t>
            </w:r>
          </w:p>
        </w:tc>
        <w:tc>
          <w:tcPr>
            <w:tcW w:w="5104" w:type="dxa"/>
          </w:tcPr>
          <w:p w14:paraId="3B1DC549" w14:textId="37A3F587" w:rsidR="00477C89" w:rsidRPr="007D3D63" w:rsidRDefault="00477C89" w:rsidP="00477C89">
            <w:pPr>
              <w:spacing w:after="0" w:line="240" w:lineRule="auto"/>
              <w:jc w:val="center"/>
              <w:outlineLvl w:val="0"/>
              <w:rPr>
                <w:rFonts w:ascii="Arial" w:eastAsia="Times New Roman" w:hAnsi="Arial" w:cs="Arial"/>
                <w:b/>
                <w:bCs/>
                <w:lang w:val="nl-NL"/>
              </w:rPr>
            </w:pPr>
            <w:r w:rsidRPr="007D3D63">
              <w:rPr>
                <w:rFonts w:ascii="Arial" w:eastAsia="Times New Roman" w:hAnsi="Arial" w:cs="Arial"/>
                <w:b/>
                <w:bCs/>
                <w:lang w:val="nl-NL"/>
              </w:rPr>
              <w:t>Art. X+</w:t>
            </w:r>
            <w:r>
              <w:rPr>
                <w:rFonts w:ascii="Arial" w:eastAsia="Times New Roman" w:hAnsi="Arial" w:cs="Arial"/>
                <w:b/>
                <w:bCs/>
                <w:lang w:val="nl-NL"/>
              </w:rPr>
              <w:t>35</w:t>
            </w:r>
          </w:p>
        </w:tc>
      </w:tr>
      <w:tr w:rsidR="00477C89" w:rsidRPr="00A878E5" w14:paraId="071A558D" w14:textId="77777777" w:rsidTr="005F50EE">
        <w:tc>
          <w:tcPr>
            <w:tcW w:w="5104" w:type="dxa"/>
          </w:tcPr>
          <w:p w14:paraId="57279126" w14:textId="77777777" w:rsidR="00477C89" w:rsidRPr="00D978FA" w:rsidRDefault="00477C89" w:rsidP="00477C89">
            <w:pPr>
              <w:spacing w:after="0" w:line="240" w:lineRule="auto"/>
              <w:jc w:val="both"/>
              <w:outlineLvl w:val="0"/>
              <w:rPr>
                <w:rFonts w:ascii="Arial" w:eastAsia="Times New Roman" w:hAnsi="Arial" w:cs="Arial"/>
                <w:lang w:val="fr-FR"/>
              </w:rPr>
            </w:pPr>
          </w:p>
        </w:tc>
        <w:tc>
          <w:tcPr>
            <w:tcW w:w="5104" w:type="dxa"/>
          </w:tcPr>
          <w:p w14:paraId="23F84922" w14:textId="77777777" w:rsidR="00477C89" w:rsidRDefault="00477C89" w:rsidP="00477C89">
            <w:pPr>
              <w:spacing w:after="0" w:line="240" w:lineRule="auto"/>
              <w:jc w:val="both"/>
              <w:outlineLvl w:val="0"/>
              <w:rPr>
                <w:rFonts w:ascii="Arial" w:eastAsia="Times New Roman" w:hAnsi="Arial" w:cs="Arial"/>
                <w:lang w:val="nl-NL"/>
              </w:rPr>
            </w:pPr>
          </w:p>
        </w:tc>
      </w:tr>
      <w:tr w:rsidR="00477C89" w:rsidRPr="00A827F1" w14:paraId="096A981A" w14:textId="77777777" w:rsidTr="005F50EE">
        <w:tc>
          <w:tcPr>
            <w:tcW w:w="5104" w:type="dxa"/>
          </w:tcPr>
          <w:p w14:paraId="1850BE8B" w14:textId="5AB7CD38" w:rsidR="00477C89" w:rsidRPr="00D978FA" w:rsidRDefault="00477C89" w:rsidP="00477C89">
            <w:pPr>
              <w:spacing w:after="0" w:line="240" w:lineRule="auto"/>
              <w:jc w:val="both"/>
              <w:outlineLvl w:val="0"/>
              <w:rPr>
                <w:rFonts w:ascii="Arial" w:eastAsia="Times New Roman" w:hAnsi="Arial" w:cs="Arial"/>
                <w:lang w:val="fr-FR"/>
              </w:rPr>
            </w:pPr>
            <w:r>
              <w:rPr>
                <w:rFonts w:ascii="Arial" w:eastAsia="Times New Roman" w:hAnsi="Arial" w:cs="Arial"/>
                <w:lang w:val="fr-FR"/>
              </w:rPr>
              <w:t>Cet article fixe la date d’entrée en vigueur de la section « </w:t>
            </w:r>
            <w:r w:rsidRPr="00D66363">
              <w:rPr>
                <w:rFonts w:ascii="Arial" w:eastAsia="Times New Roman" w:hAnsi="Arial" w:cs="Arial"/>
                <w:lang w:val="fr-FR"/>
              </w:rPr>
              <w:t>Accords entre les dispensateurs de soins et les organismes assureurs »</w:t>
            </w:r>
            <w:r>
              <w:rPr>
                <w:rFonts w:ascii="Arial" w:eastAsia="Times New Roman" w:hAnsi="Arial" w:cs="Arial"/>
                <w:lang w:val="fr-FR"/>
              </w:rPr>
              <w:t>. Vu les modifications substantielles apportées aux processus existants, il est important de rendre les nouveaux processus prévisibles pour tous les partenaires en temps utile.</w:t>
            </w:r>
            <w:r w:rsidR="007D025D" w:rsidRPr="007D025D">
              <w:rPr>
                <w:lang w:val="fr-FR"/>
              </w:rPr>
              <w:t xml:space="preserve"> </w:t>
            </w:r>
            <w:r w:rsidR="007D025D" w:rsidRPr="007D025D">
              <w:rPr>
                <w:rFonts w:ascii="Arial" w:eastAsia="Times New Roman" w:hAnsi="Arial" w:cs="Arial"/>
                <w:lang w:val="fr-FR"/>
              </w:rPr>
              <w:t>Les nouvelles règles s’appliqueront aux accords qui seront d’application à partir du 1</w:t>
            </w:r>
            <w:r w:rsidR="007D025D" w:rsidRPr="007D025D">
              <w:rPr>
                <w:rFonts w:ascii="Arial" w:eastAsia="Times New Roman" w:hAnsi="Arial" w:cs="Arial"/>
                <w:vertAlign w:val="superscript"/>
                <w:lang w:val="fr-FR"/>
              </w:rPr>
              <w:t>er</w:t>
            </w:r>
            <w:r w:rsidR="007D025D" w:rsidRPr="007D025D">
              <w:rPr>
                <w:rFonts w:ascii="Arial" w:eastAsia="Times New Roman" w:hAnsi="Arial" w:cs="Arial"/>
                <w:lang w:val="fr-FR"/>
              </w:rPr>
              <w:t xml:space="preserve"> janvier 2028. Les commissions d’accords devront donc tenir compte des nouvelles règles dans le cadre de la procédure de négociation et de conclusion de ces accords au second semestre 2027.</w:t>
            </w:r>
            <w:r>
              <w:rPr>
                <w:rFonts w:ascii="Arial" w:eastAsia="Times New Roman" w:hAnsi="Arial" w:cs="Arial"/>
                <w:lang w:val="fr-FR"/>
              </w:rPr>
              <w:t xml:space="preserve"> </w:t>
            </w:r>
            <w:r w:rsidR="00A71985" w:rsidRPr="00A71985">
              <w:rPr>
                <w:rFonts w:ascii="Arial" w:eastAsia="Times New Roman" w:hAnsi="Arial" w:cs="Arial"/>
                <w:lang w:val="fr-FR"/>
              </w:rPr>
              <w:t>Les nouvelles règles s’appliquent également aux accords en cours et à ceux qui seraient tacitement renouvelés à l’automne 2027. Il en va de même, par exemple, pour les interventions financières accordées aux dispensateurs de soins conventionnés à partir du 1</w:t>
            </w:r>
            <w:r w:rsidR="00A71985" w:rsidRPr="00A71985">
              <w:rPr>
                <w:rFonts w:ascii="Arial" w:eastAsia="Times New Roman" w:hAnsi="Arial" w:cs="Arial"/>
                <w:vertAlign w:val="superscript"/>
                <w:lang w:val="fr-FR"/>
              </w:rPr>
              <w:t>er</w:t>
            </w:r>
            <w:r w:rsidR="00A71985" w:rsidRPr="00A71985">
              <w:rPr>
                <w:rFonts w:ascii="Arial" w:eastAsia="Times New Roman" w:hAnsi="Arial" w:cs="Arial"/>
                <w:lang w:val="fr-FR"/>
              </w:rPr>
              <w:t xml:space="preserve"> janvier 2028.</w:t>
            </w:r>
          </w:p>
        </w:tc>
        <w:tc>
          <w:tcPr>
            <w:tcW w:w="5104" w:type="dxa"/>
          </w:tcPr>
          <w:p w14:paraId="675A2C83" w14:textId="39D5260A" w:rsidR="00477C89" w:rsidRPr="00D66363" w:rsidRDefault="00477C89" w:rsidP="00477C89">
            <w:pPr>
              <w:spacing w:after="0" w:line="240" w:lineRule="auto"/>
              <w:jc w:val="both"/>
              <w:outlineLvl w:val="0"/>
              <w:rPr>
                <w:rFonts w:ascii="Arial" w:eastAsia="Times New Roman" w:hAnsi="Arial" w:cs="Arial"/>
                <w:lang w:val="nl-NL"/>
              </w:rPr>
            </w:pPr>
            <w:r w:rsidRPr="00D66363">
              <w:rPr>
                <w:rFonts w:ascii="Arial" w:eastAsia="Times New Roman" w:hAnsi="Arial" w:cs="Arial"/>
                <w:lang w:val="nl-NL"/>
              </w:rPr>
              <w:t>Dit artikel bepaalt de datum van inwerkingtreding van de afdeling “Akkoorden tussen zorgverleners en verzekeringsinstellingen”. Gelet op de substantiële wijzigingen van de bestaande processen is het belangrijk om de nieuwe processen voor alle partners tijdig voorzienbaar te maken.</w:t>
            </w:r>
            <w:r w:rsidR="007D025D" w:rsidRPr="007D025D">
              <w:rPr>
                <w:lang w:val="nl-NL"/>
              </w:rPr>
              <w:t xml:space="preserve"> </w:t>
            </w:r>
            <w:r w:rsidR="007D025D" w:rsidRPr="007D025D">
              <w:rPr>
                <w:rFonts w:ascii="Arial" w:eastAsia="Times New Roman" w:hAnsi="Arial" w:cs="Arial"/>
                <w:lang w:val="nl-NL"/>
              </w:rPr>
              <w:t xml:space="preserve">De nieuwe regels zullen van toepassing zijn op de akkoorden die van toepassing zullen zijn vanaf 1 januari 2028. De akkoordencommissies zullen in het kader van de procedure voor het onderhandelen en sluiten van die akkoorden in de tweede helft van 2027 dus rekening moeten houden met de nieuwe regels.  </w:t>
            </w:r>
            <w:r w:rsidR="00CE635D" w:rsidRPr="00CE635D">
              <w:rPr>
                <w:rFonts w:ascii="Arial" w:eastAsia="Times New Roman" w:hAnsi="Arial" w:cs="Arial"/>
                <w:lang w:val="nl-NL"/>
              </w:rPr>
              <w:t>Ook voor akkoorden die nog lopen en voor akkoorden die in het najaar van 2027 stilwijgend zouden worden verlengd zijn de nieuwe regels van toepassing. Dat geldt bv. ook voor de financiële tegemoetkomingen die vanaf 1 januari 2028 worden toegekend aan geconventioneerde zorgverleners.</w:t>
            </w:r>
          </w:p>
        </w:tc>
      </w:tr>
      <w:tr w:rsidR="00477C89" w:rsidRPr="00A827F1" w14:paraId="68321927" w14:textId="77777777" w:rsidTr="005F50EE">
        <w:tc>
          <w:tcPr>
            <w:tcW w:w="5104" w:type="dxa"/>
          </w:tcPr>
          <w:p w14:paraId="5959D03F" w14:textId="77777777" w:rsidR="00477C89" w:rsidRPr="007D3D63" w:rsidRDefault="00477C89" w:rsidP="00477C89">
            <w:pPr>
              <w:spacing w:after="0" w:line="240" w:lineRule="auto"/>
              <w:jc w:val="both"/>
              <w:outlineLvl w:val="0"/>
              <w:rPr>
                <w:rFonts w:ascii="Arial" w:eastAsia="Times New Roman" w:hAnsi="Arial" w:cs="Arial"/>
                <w:lang w:val="nl-NL"/>
              </w:rPr>
            </w:pPr>
          </w:p>
        </w:tc>
        <w:tc>
          <w:tcPr>
            <w:tcW w:w="5104" w:type="dxa"/>
          </w:tcPr>
          <w:p w14:paraId="6596E091" w14:textId="77777777" w:rsidR="00477C89" w:rsidRPr="00404570" w:rsidRDefault="00477C89" w:rsidP="00477C89">
            <w:pPr>
              <w:spacing w:after="0" w:line="240" w:lineRule="auto"/>
              <w:jc w:val="both"/>
              <w:outlineLvl w:val="0"/>
              <w:rPr>
                <w:rFonts w:ascii="Arial" w:eastAsia="Times New Roman" w:hAnsi="Arial" w:cs="Arial"/>
                <w:lang w:val="nl-NL"/>
              </w:rPr>
            </w:pPr>
          </w:p>
        </w:tc>
      </w:tr>
      <w:tr w:rsidR="00477C89" w:rsidRPr="00492CDC" w14:paraId="43C1B3DE" w14:textId="77777777" w:rsidTr="005F50EE">
        <w:tc>
          <w:tcPr>
            <w:tcW w:w="5104" w:type="dxa"/>
          </w:tcPr>
          <w:p w14:paraId="7362C7DB" w14:textId="4E922DAB" w:rsidR="00477C89" w:rsidRPr="00DF4489" w:rsidRDefault="00477C89" w:rsidP="00477C89">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X+2</w:t>
            </w:r>
            <w:r w:rsidRPr="00DF4489">
              <w:rPr>
                <w:rFonts w:ascii="Arial" w:eastAsia="Times New Roman" w:hAnsi="Arial" w:cs="Arial"/>
                <w:b/>
                <w:i/>
                <w:lang w:val="fr-FR"/>
              </w:rPr>
              <w:t xml:space="preserve"> – </w:t>
            </w:r>
            <w:r>
              <w:rPr>
                <w:rFonts w:ascii="Arial" w:eastAsia="Times New Roman" w:hAnsi="Arial" w:cs="Arial"/>
                <w:b/>
                <w:i/>
                <w:lang w:val="fr-FR"/>
              </w:rPr>
              <w:t>Définitions</w:t>
            </w:r>
          </w:p>
        </w:tc>
        <w:tc>
          <w:tcPr>
            <w:tcW w:w="5104" w:type="dxa"/>
          </w:tcPr>
          <w:p w14:paraId="2F9A0BC1" w14:textId="5D14798E" w:rsidR="00477C89" w:rsidRPr="00371224" w:rsidRDefault="00477C89" w:rsidP="00477C89">
            <w:pPr>
              <w:spacing w:after="0" w:line="240" w:lineRule="auto"/>
              <w:jc w:val="center"/>
              <w:outlineLvl w:val="0"/>
              <w:rPr>
                <w:rFonts w:ascii="Arial" w:eastAsia="Times New Roman" w:hAnsi="Arial" w:cs="Arial"/>
                <w:i/>
                <w:lang w:val="nl-NL"/>
              </w:rPr>
            </w:pPr>
            <w:commentRangeStart w:id="4"/>
            <w:r w:rsidRPr="00DF4489">
              <w:rPr>
                <w:rFonts w:ascii="Arial" w:eastAsia="Times New Roman" w:hAnsi="Arial" w:cs="Arial"/>
                <w:b/>
                <w:i/>
                <w:lang w:val="nl-BE"/>
              </w:rPr>
              <w:t xml:space="preserve">Afdeling </w:t>
            </w:r>
            <w:r>
              <w:rPr>
                <w:rFonts w:ascii="Arial" w:eastAsia="Times New Roman" w:hAnsi="Arial" w:cs="Arial"/>
                <w:b/>
                <w:i/>
                <w:lang w:val="nl-BE"/>
              </w:rPr>
              <w:t>X+2</w:t>
            </w:r>
            <w:r w:rsidRPr="00DF4489">
              <w:rPr>
                <w:rFonts w:ascii="Arial" w:eastAsia="Times New Roman" w:hAnsi="Arial" w:cs="Arial"/>
                <w:b/>
                <w:i/>
                <w:lang w:val="nl-BE"/>
              </w:rPr>
              <w:t xml:space="preserve"> -</w:t>
            </w:r>
            <w:r w:rsidRPr="00371224">
              <w:rPr>
                <w:lang w:val="nl-NL"/>
              </w:rPr>
              <w:t xml:space="preserve"> </w:t>
            </w:r>
            <w:r>
              <w:rPr>
                <w:rFonts w:ascii="Arial" w:eastAsia="Times New Roman" w:hAnsi="Arial" w:cs="Arial"/>
                <w:b/>
                <w:i/>
                <w:lang w:val="nl-BE"/>
              </w:rPr>
              <w:t>Definities</w:t>
            </w:r>
            <w:r w:rsidRPr="00371224">
              <w:rPr>
                <w:rFonts w:ascii="Arial" w:eastAsia="Times New Roman" w:hAnsi="Arial" w:cs="Arial"/>
                <w:b/>
                <w:i/>
                <w:lang w:val="nl-BE"/>
              </w:rPr>
              <w:t xml:space="preserve"> </w:t>
            </w:r>
            <w:r w:rsidRPr="00DF4489">
              <w:rPr>
                <w:rFonts w:ascii="Arial" w:eastAsia="Times New Roman" w:hAnsi="Arial" w:cs="Arial"/>
                <w:b/>
                <w:i/>
                <w:lang w:val="nl-BE"/>
              </w:rPr>
              <w:t xml:space="preserve"> </w:t>
            </w:r>
            <w:commentRangeEnd w:id="4"/>
            <w:r>
              <w:rPr>
                <w:rStyle w:val="Verwijzingopmerking"/>
              </w:rPr>
              <w:commentReference w:id="4"/>
            </w:r>
          </w:p>
        </w:tc>
      </w:tr>
      <w:tr w:rsidR="00477C89" w:rsidRPr="00492CDC" w14:paraId="5FF94635" w14:textId="77777777" w:rsidTr="005F50EE">
        <w:tc>
          <w:tcPr>
            <w:tcW w:w="5104" w:type="dxa"/>
          </w:tcPr>
          <w:p w14:paraId="791E33CC"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6B60562"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EE6F91" w14:paraId="615AB122" w14:textId="77777777" w:rsidTr="005F50EE">
        <w:tc>
          <w:tcPr>
            <w:tcW w:w="5104" w:type="dxa"/>
          </w:tcPr>
          <w:p w14:paraId="790755A3" w14:textId="60C069C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+36</w:t>
            </w:r>
          </w:p>
        </w:tc>
        <w:tc>
          <w:tcPr>
            <w:tcW w:w="5104" w:type="dxa"/>
          </w:tcPr>
          <w:p w14:paraId="296D4E1F" w14:textId="4892761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+36</w:t>
            </w:r>
          </w:p>
        </w:tc>
      </w:tr>
      <w:tr w:rsidR="00477C89" w:rsidRPr="00492CDC" w14:paraId="60C753DA" w14:textId="77777777" w:rsidTr="005F50EE">
        <w:tc>
          <w:tcPr>
            <w:tcW w:w="5104" w:type="dxa"/>
          </w:tcPr>
          <w:p w14:paraId="6F4A5631" w14:textId="77777777" w:rsidR="00477C89" w:rsidRPr="00DF4489" w:rsidRDefault="00477C89" w:rsidP="00477C89">
            <w:pPr>
              <w:spacing w:after="0" w:line="240" w:lineRule="auto"/>
              <w:jc w:val="both"/>
              <w:outlineLvl w:val="0"/>
              <w:rPr>
                <w:rFonts w:ascii="Arial" w:eastAsia="Times New Roman" w:hAnsi="Arial" w:cs="Arial"/>
                <w:lang w:val="nl-NL"/>
              </w:rPr>
            </w:pPr>
          </w:p>
        </w:tc>
        <w:tc>
          <w:tcPr>
            <w:tcW w:w="5104" w:type="dxa"/>
          </w:tcPr>
          <w:p w14:paraId="11D984C6" w14:textId="77777777" w:rsidR="00477C89" w:rsidRPr="00DF4489" w:rsidRDefault="00477C89" w:rsidP="00477C89">
            <w:pPr>
              <w:spacing w:after="0" w:line="240" w:lineRule="auto"/>
              <w:jc w:val="both"/>
              <w:outlineLvl w:val="0"/>
              <w:rPr>
                <w:rFonts w:ascii="Arial" w:eastAsia="Times New Roman" w:hAnsi="Arial" w:cs="Arial"/>
                <w:lang w:val="nl-NL"/>
              </w:rPr>
            </w:pPr>
          </w:p>
        </w:tc>
      </w:tr>
      <w:tr w:rsidR="00477C89" w:rsidRPr="00A827F1" w14:paraId="25BCFDDA" w14:textId="77777777" w:rsidTr="005F50EE">
        <w:tc>
          <w:tcPr>
            <w:tcW w:w="5104" w:type="dxa"/>
          </w:tcPr>
          <w:p w14:paraId="59E8CDAD" w14:textId="5944CB5A" w:rsidR="00477C89" w:rsidRPr="00492CDC" w:rsidRDefault="00477C89" w:rsidP="00477C89">
            <w:pPr>
              <w:spacing w:after="0" w:line="240" w:lineRule="auto"/>
              <w:jc w:val="both"/>
              <w:outlineLvl w:val="0"/>
              <w:rPr>
                <w:rFonts w:ascii="Arial" w:eastAsia="Times New Roman" w:hAnsi="Arial" w:cs="Arial"/>
                <w:lang w:val="fr-FR"/>
              </w:rPr>
            </w:pPr>
            <w:r w:rsidRPr="00735F7F">
              <w:rPr>
                <w:rFonts w:ascii="Arial" w:eastAsia="Times New Roman" w:hAnsi="Arial" w:cs="Arial"/>
                <w:lang w:val="fr-FR"/>
              </w:rPr>
              <w:t>Ce</w:t>
            </w:r>
            <w:r>
              <w:rPr>
                <w:rFonts w:ascii="Arial" w:eastAsia="Times New Roman" w:hAnsi="Arial" w:cs="Arial"/>
                <w:lang w:val="fr-FR"/>
              </w:rPr>
              <w:t xml:space="preserve">t </w:t>
            </w:r>
            <w:r w:rsidRPr="00492CDC">
              <w:rPr>
                <w:rFonts w:ascii="Arial" w:eastAsia="Times New Roman" w:hAnsi="Arial" w:cs="Arial"/>
                <w:lang w:val="fr-FR"/>
              </w:rPr>
              <w:t>article modernise la définition d’« auxiliaire paramédical » et l’aligne sur la dénomination actuelle des professions. La terminologie « les fournisseurs de prothèses et appareils » est remplacée par « les technologues orthopédiques, les opticiens, les audiciens ».</w:t>
            </w:r>
          </w:p>
        </w:tc>
        <w:tc>
          <w:tcPr>
            <w:tcW w:w="5104" w:type="dxa"/>
          </w:tcPr>
          <w:p w14:paraId="53274CE0" w14:textId="755E97E5" w:rsidR="00477C89" w:rsidRPr="00492CDC" w:rsidRDefault="00477C89" w:rsidP="00477C89">
            <w:pPr>
              <w:spacing w:after="0" w:line="240" w:lineRule="auto"/>
              <w:jc w:val="both"/>
              <w:outlineLvl w:val="0"/>
              <w:rPr>
                <w:rFonts w:ascii="Arial" w:eastAsia="Times New Roman" w:hAnsi="Arial" w:cs="Arial"/>
                <w:lang w:val="nl-NL"/>
              </w:rPr>
            </w:pPr>
            <w:r>
              <w:rPr>
                <w:rFonts w:ascii="Arial" w:eastAsia="Times New Roman" w:hAnsi="Arial" w:cs="Arial"/>
                <w:lang w:val="nl-NL"/>
              </w:rPr>
              <w:t>Dit a</w:t>
            </w:r>
            <w:r w:rsidRPr="00492CDC">
              <w:rPr>
                <w:rFonts w:ascii="Arial" w:eastAsia="Times New Roman" w:hAnsi="Arial" w:cs="Arial"/>
                <w:lang w:val="nl-NL"/>
              </w:rPr>
              <w:t>rtikel moderniseert de definitie van “paramedisch medewerker” en brengt deze in overeenstemming met de huidige benaming van de beroepen. De terminologie “verstrekkers van prothesen en toestellen” wordt vervangen door “de orthopedisch technologen, de opticiens, de audiciens”.</w:t>
            </w:r>
          </w:p>
        </w:tc>
      </w:tr>
      <w:tr w:rsidR="00477C89" w:rsidRPr="00A827F1" w14:paraId="2A932E55" w14:textId="77777777" w:rsidTr="005F50EE">
        <w:tc>
          <w:tcPr>
            <w:tcW w:w="5104" w:type="dxa"/>
          </w:tcPr>
          <w:p w14:paraId="5E634AD1" w14:textId="77777777" w:rsidR="00477C89" w:rsidRPr="00492CDC" w:rsidRDefault="00477C89" w:rsidP="00477C89">
            <w:pPr>
              <w:spacing w:after="0" w:line="240" w:lineRule="auto"/>
              <w:jc w:val="both"/>
              <w:outlineLvl w:val="0"/>
              <w:rPr>
                <w:rFonts w:ascii="Arial" w:eastAsia="Times New Roman" w:hAnsi="Arial" w:cs="Arial"/>
                <w:lang w:val="nl-NL"/>
              </w:rPr>
            </w:pPr>
          </w:p>
        </w:tc>
        <w:tc>
          <w:tcPr>
            <w:tcW w:w="5104" w:type="dxa"/>
          </w:tcPr>
          <w:p w14:paraId="223A1DBA" w14:textId="77777777" w:rsidR="00477C89" w:rsidRPr="00492CDC" w:rsidRDefault="00477C89" w:rsidP="00477C89">
            <w:pPr>
              <w:spacing w:after="0" w:line="240" w:lineRule="auto"/>
              <w:jc w:val="both"/>
              <w:outlineLvl w:val="0"/>
              <w:rPr>
                <w:rFonts w:ascii="Arial" w:eastAsia="Times New Roman" w:hAnsi="Arial" w:cs="Arial"/>
                <w:lang w:val="nl-NL"/>
              </w:rPr>
            </w:pPr>
          </w:p>
        </w:tc>
      </w:tr>
      <w:tr w:rsidR="00477C89" w:rsidRPr="00A827F1" w14:paraId="6B969962" w14:textId="77777777" w:rsidTr="005F50EE">
        <w:tc>
          <w:tcPr>
            <w:tcW w:w="5104" w:type="dxa"/>
          </w:tcPr>
          <w:p w14:paraId="6B652A79" w14:textId="5BC247AC" w:rsidR="00477C89" w:rsidRPr="00492CDC" w:rsidRDefault="00477C89" w:rsidP="00477C89">
            <w:pPr>
              <w:spacing w:after="0" w:line="240" w:lineRule="auto"/>
              <w:jc w:val="both"/>
              <w:outlineLvl w:val="0"/>
              <w:rPr>
                <w:rFonts w:ascii="Arial" w:eastAsia="Times New Roman" w:hAnsi="Arial" w:cs="Arial"/>
                <w:lang w:val="fr-FR"/>
              </w:rPr>
            </w:pPr>
            <w:r w:rsidRPr="00492CDC">
              <w:rPr>
                <w:rFonts w:ascii="Arial" w:eastAsia="Times New Roman" w:hAnsi="Arial" w:cs="Arial"/>
                <w:lang w:val="fr-FR"/>
              </w:rPr>
              <w:t xml:space="preserve">En outre, une définition des « tarifs indicatifs » est insérée. Il s’agit des dépassements maximaux autorisés d’honoraires et de prix dans le cadre des </w:t>
            </w:r>
            <w:r w:rsidRPr="0050339E">
              <w:rPr>
                <w:rFonts w:ascii="Arial" w:eastAsia="Times New Roman" w:hAnsi="Arial" w:cs="Arial"/>
                <w:lang w:val="fr-FR"/>
              </w:rPr>
              <w:t>accords</w:t>
            </w:r>
            <w:r w:rsidRPr="007161D5">
              <w:rPr>
                <w:rFonts w:ascii="Arial" w:hAnsi="Arial"/>
                <w:lang w:val="fr-FR"/>
              </w:rPr>
              <w:t xml:space="preserve"> </w:t>
            </w:r>
            <w:r w:rsidRPr="0050339E">
              <w:rPr>
                <w:rFonts w:ascii="Arial" w:eastAsia="Times New Roman" w:hAnsi="Arial" w:cs="Arial"/>
                <w:lang w:val="fr-FR"/>
              </w:rPr>
              <w:t>ou des documents, pour les dispensateurs de soins qui ont adhéré à ces accords ou à ces documents</w:t>
            </w:r>
            <w:r w:rsidRPr="00492CDC">
              <w:rPr>
                <w:rFonts w:ascii="Arial" w:eastAsia="Times New Roman" w:hAnsi="Arial" w:cs="Arial"/>
                <w:lang w:val="fr-FR"/>
              </w:rPr>
              <w:t>.</w:t>
            </w:r>
          </w:p>
        </w:tc>
        <w:tc>
          <w:tcPr>
            <w:tcW w:w="5104" w:type="dxa"/>
          </w:tcPr>
          <w:p w14:paraId="231B5B9F" w14:textId="007C33B0" w:rsidR="00477C89" w:rsidRPr="000E19FE" w:rsidRDefault="00477C89" w:rsidP="00477C89">
            <w:pPr>
              <w:spacing w:after="0" w:line="240" w:lineRule="auto"/>
              <w:jc w:val="both"/>
              <w:outlineLvl w:val="0"/>
              <w:rPr>
                <w:rFonts w:ascii="Arial" w:eastAsia="Times New Roman" w:hAnsi="Arial" w:cs="Arial"/>
                <w:lang w:val="nl-NL"/>
              </w:rPr>
            </w:pPr>
            <w:r w:rsidRPr="00492CDC">
              <w:rPr>
                <w:rFonts w:ascii="Arial" w:eastAsia="Times New Roman" w:hAnsi="Arial" w:cs="Arial"/>
                <w:lang w:val="nl-NL"/>
              </w:rPr>
              <w:t xml:space="preserve">Daarnaast wordt een definitie van “richttarieven” ingevoegd. Hieronder wordt verstaan de in het kader van de akkoorden </w:t>
            </w:r>
            <w:r>
              <w:rPr>
                <w:rFonts w:ascii="Arial" w:eastAsia="Times New Roman" w:hAnsi="Arial" w:cs="Arial"/>
                <w:lang w:val="nl-NL"/>
              </w:rPr>
              <w:t xml:space="preserve">of documenten </w:t>
            </w:r>
            <w:r w:rsidRPr="00492CDC">
              <w:rPr>
                <w:rFonts w:ascii="Arial" w:eastAsia="Times New Roman" w:hAnsi="Arial" w:cs="Arial"/>
                <w:lang w:val="nl-NL"/>
              </w:rPr>
              <w:t>toegestane maximale overschrijdingen van de honoraria en de prijzen</w:t>
            </w:r>
            <w:r w:rsidRPr="0050339E">
              <w:rPr>
                <w:lang w:val="nl-NL"/>
              </w:rPr>
              <w:t xml:space="preserve"> </w:t>
            </w:r>
            <w:r w:rsidRPr="0050339E">
              <w:rPr>
                <w:rFonts w:ascii="Arial" w:eastAsia="Times New Roman" w:hAnsi="Arial" w:cs="Arial"/>
                <w:lang w:val="nl-NL"/>
              </w:rPr>
              <w:t>voor de zorgverleners die tot die akkoorden of documenten zijn toegetreden</w:t>
            </w:r>
            <w:r w:rsidRPr="00492CDC">
              <w:rPr>
                <w:rFonts w:ascii="Arial" w:eastAsia="Times New Roman" w:hAnsi="Arial" w:cs="Arial"/>
                <w:lang w:val="nl-NL"/>
              </w:rPr>
              <w:t xml:space="preserve">.  </w:t>
            </w:r>
          </w:p>
        </w:tc>
      </w:tr>
      <w:tr w:rsidR="00477C89" w:rsidRPr="00A827F1" w14:paraId="2B67FD07" w14:textId="77777777" w:rsidTr="005F50EE">
        <w:tc>
          <w:tcPr>
            <w:tcW w:w="5104" w:type="dxa"/>
          </w:tcPr>
          <w:p w14:paraId="00DF405D" w14:textId="77777777" w:rsidR="00477C89" w:rsidRPr="000E19FE" w:rsidRDefault="00477C89" w:rsidP="00477C89">
            <w:pPr>
              <w:spacing w:after="0" w:line="240" w:lineRule="auto"/>
              <w:jc w:val="both"/>
              <w:outlineLvl w:val="0"/>
              <w:rPr>
                <w:rFonts w:ascii="Arial" w:eastAsia="Times New Roman" w:hAnsi="Arial" w:cs="Arial"/>
                <w:lang w:val="nl-NL"/>
              </w:rPr>
            </w:pPr>
          </w:p>
        </w:tc>
        <w:tc>
          <w:tcPr>
            <w:tcW w:w="5104" w:type="dxa"/>
          </w:tcPr>
          <w:p w14:paraId="0FB4F001" w14:textId="77777777" w:rsidR="00477C89" w:rsidRPr="000E19FE" w:rsidRDefault="00477C89" w:rsidP="00477C89">
            <w:pPr>
              <w:spacing w:after="0" w:line="240" w:lineRule="auto"/>
              <w:jc w:val="both"/>
              <w:outlineLvl w:val="0"/>
              <w:rPr>
                <w:rFonts w:ascii="Arial" w:eastAsia="Times New Roman" w:hAnsi="Arial" w:cs="Arial"/>
                <w:lang w:val="nl-NL"/>
              </w:rPr>
            </w:pPr>
          </w:p>
        </w:tc>
      </w:tr>
      <w:tr w:rsidR="00477C89" w:rsidRPr="00A827F1" w14:paraId="46E69EEF" w14:textId="77777777" w:rsidTr="005F50EE">
        <w:tc>
          <w:tcPr>
            <w:tcW w:w="5104" w:type="dxa"/>
          </w:tcPr>
          <w:p w14:paraId="42EF6B3A" w14:textId="004E0177" w:rsidR="00477C89" w:rsidRPr="00674E1C" w:rsidRDefault="00477C89" w:rsidP="00477C89">
            <w:pPr>
              <w:spacing w:after="0" w:line="240" w:lineRule="auto"/>
              <w:jc w:val="center"/>
              <w:outlineLvl w:val="0"/>
              <w:rPr>
                <w:rFonts w:ascii="Arial" w:eastAsia="Times New Roman" w:hAnsi="Arial" w:cs="Arial"/>
                <w:b/>
                <w:i/>
                <w:lang w:val="fr-FR"/>
              </w:rPr>
            </w:pPr>
            <w:r w:rsidRPr="00674E1C">
              <w:rPr>
                <w:rFonts w:ascii="Arial" w:eastAsia="Times New Roman" w:hAnsi="Arial" w:cs="Arial"/>
                <w:b/>
                <w:i/>
                <w:lang w:val="fr-FR"/>
              </w:rPr>
              <w:t>Section X</w:t>
            </w:r>
            <w:r>
              <w:rPr>
                <w:rFonts w:ascii="Arial" w:eastAsia="Times New Roman" w:hAnsi="Arial" w:cs="Arial"/>
                <w:b/>
                <w:i/>
                <w:lang w:val="fr-FR"/>
              </w:rPr>
              <w:t>+3</w:t>
            </w:r>
            <w:r w:rsidRPr="00674E1C">
              <w:rPr>
                <w:rFonts w:ascii="Arial" w:eastAsia="Times New Roman" w:hAnsi="Arial" w:cs="Arial"/>
                <w:b/>
                <w:i/>
                <w:lang w:val="fr-FR"/>
              </w:rPr>
              <w:t xml:space="preserve"> - </w:t>
            </w:r>
            <w:r w:rsidRPr="00E57F09">
              <w:rPr>
                <w:rFonts w:ascii="Arial" w:eastAsia="Times New Roman" w:hAnsi="Arial" w:cs="Arial"/>
                <w:b/>
                <w:i/>
                <w:lang w:val="fr-FR"/>
              </w:rPr>
              <w:t>Pérenniser l’utilisation de copie, notamment pour permettre leur envoi digital, des documents d’assurabilité et d’accessibilité financière</w:t>
            </w:r>
          </w:p>
        </w:tc>
        <w:tc>
          <w:tcPr>
            <w:tcW w:w="5104" w:type="dxa"/>
          </w:tcPr>
          <w:p w14:paraId="75F158BF" w14:textId="10570356" w:rsidR="00477C89" w:rsidRPr="003C0303" w:rsidRDefault="00477C89" w:rsidP="00477C89">
            <w:pPr>
              <w:spacing w:after="0" w:line="240" w:lineRule="auto"/>
              <w:jc w:val="center"/>
              <w:outlineLvl w:val="0"/>
              <w:rPr>
                <w:rFonts w:ascii="Arial" w:eastAsia="Times New Roman" w:hAnsi="Arial" w:cs="Arial"/>
                <w:b/>
                <w:i/>
                <w:lang w:val="nl-NL"/>
              </w:rPr>
            </w:pPr>
            <w:commentRangeStart w:id="5"/>
            <w:r w:rsidRPr="003C0303">
              <w:rPr>
                <w:rFonts w:ascii="Arial" w:eastAsia="Times New Roman" w:hAnsi="Arial" w:cs="Arial"/>
                <w:b/>
                <w:i/>
                <w:lang w:val="nl-NL"/>
              </w:rPr>
              <w:t>Afdeling X</w:t>
            </w:r>
            <w:r>
              <w:rPr>
                <w:rFonts w:ascii="Arial" w:eastAsia="Times New Roman" w:hAnsi="Arial" w:cs="Arial"/>
                <w:b/>
                <w:i/>
                <w:lang w:val="nl-NL"/>
              </w:rPr>
              <w:t>+3</w:t>
            </w:r>
            <w:r w:rsidRPr="003C0303">
              <w:rPr>
                <w:rFonts w:ascii="Arial" w:eastAsia="Times New Roman" w:hAnsi="Arial" w:cs="Arial"/>
                <w:b/>
                <w:i/>
                <w:lang w:val="nl-NL"/>
              </w:rPr>
              <w:t xml:space="preserve"> -</w:t>
            </w:r>
            <w:r w:rsidRPr="003C0303">
              <w:rPr>
                <w:lang w:val="nl-NL"/>
              </w:rPr>
              <w:t xml:space="preserve"> </w:t>
            </w:r>
            <w:r w:rsidRPr="003C0303">
              <w:rPr>
                <w:rFonts w:ascii="Arial" w:eastAsia="Times New Roman" w:hAnsi="Arial" w:cs="Arial"/>
                <w:b/>
                <w:i/>
                <w:lang w:val="nl-NL"/>
              </w:rPr>
              <w:t xml:space="preserve">Het gebruik van kopieën bestendigen, met name om de digitale verzending mogelijk te maken van </w:t>
            </w:r>
            <w:r w:rsidRPr="003C0303">
              <w:rPr>
                <w:rFonts w:ascii="Arial" w:eastAsia="Times New Roman" w:hAnsi="Arial" w:cs="Arial"/>
                <w:b/>
                <w:i/>
                <w:lang w:val="nl-NL"/>
              </w:rPr>
              <w:lastRenderedPageBreak/>
              <w:t xml:space="preserve">documenten inzake verzekerbaarheid en financiële toegankelijkheid </w:t>
            </w:r>
            <w:commentRangeEnd w:id="5"/>
            <w:r>
              <w:rPr>
                <w:rStyle w:val="Verwijzingopmerking"/>
              </w:rPr>
              <w:commentReference w:id="5"/>
            </w:r>
          </w:p>
        </w:tc>
      </w:tr>
      <w:tr w:rsidR="00477C89" w:rsidRPr="00A827F1" w14:paraId="160E4750" w14:textId="77777777" w:rsidTr="005F50EE">
        <w:tc>
          <w:tcPr>
            <w:tcW w:w="5104" w:type="dxa"/>
          </w:tcPr>
          <w:p w14:paraId="186C00EE" w14:textId="77777777" w:rsidR="00477C89" w:rsidRPr="00AD6EBE" w:rsidRDefault="00477C89" w:rsidP="00477C89">
            <w:pPr>
              <w:spacing w:after="0" w:line="240" w:lineRule="auto"/>
              <w:jc w:val="both"/>
              <w:outlineLvl w:val="0"/>
              <w:rPr>
                <w:rFonts w:ascii="Arial" w:eastAsia="Times New Roman" w:hAnsi="Arial" w:cs="Arial"/>
                <w:lang w:val="nl-NL"/>
              </w:rPr>
            </w:pPr>
          </w:p>
        </w:tc>
        <w:tc>
          <w:tcPr>
            <w:tcW w:w="5104" w:type="dxa"/>
          </w:tcPr>
          <w:p w14:paraId="026C7698" w14:textId="77777777" w:rsidR="00477C89" w:rsidRPr="00AD6EBE" w:rsidRDefault="00477C89" w:rsidP="00477C89">
            <w:pPr>
              <w:spacing w:after="0" w:line="240" w:lineRule="auto"/>
              <w:jc w:val="both"/>
              <w:outlineLvl w:val="0"/>
              <w:rPr>
                <w:rFonts w:ascii="Arial" w:eastAsia="Times New Roman" w:hAnsi="Arial" w:cs="Arial"/>
                <w:lang w:val="nl-NL"/>
              </w:rPr>
            </w:pPr>
          </w:p>
        </w:tc>
      </w:tr>
      <w:tr w:rsidR="00477C89" w:rsidRPr="00EE6F91" w14:paraId="468125DE" w14:textId="77777777" w:rsidTr="005F50EE">
        <w:tc>
          <w:tcPr>
            <w:tcW w:w="5104" w:type="dxa"/>
          </w:tcPr>
          <w:p w14:paraId="0622F67C" w14:textId="37B56123"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+37</w:t>
            </w:r>
          </w:p>
        </w:tc>
        <w:tc>
          <w:tcPr>
            <w:tcW w:w="5104" w:type="dxa"/>
          </w:tcPr>
          <w:p w14:paraId="0656AEEB" w14:textId="2256FC46"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+37</w:t>
            </w:r>
          </w:p>
        </w:tc>
      </w:tr>
      <w:tr w:rsidR="00477C89" w:rsidRPr="00962B0D" w14:paraId="6664C838" w14:textId="77777777" w:rsidTr="005F50EE">
        <w:tc>
          <w:tcPr>
            <w:tcW w:w="5104" w:type="dxa"/>
          </w:tcPr>
          <w:p w14:paraId="4FFA6371" w14:textId="77777777" w:rsidR="00477C89" w:rsidRPr="000E19FE" w:rsidRDefault="00477C89" w:rsidP="00477C89">
            <w:pPr>
              <w:spacing w:after="0" w:line="240" w:lineRule="auto"/>
              <w:jc w:val="both"/>
              <w:outlineLvl w:val="0"/>
              <w:rPr>
                <w:rFonts w:ascii="Arial" w:eastAsia="Times New Roman" w:hAnsi="Arial" w:cs="Arial"/>
                <w:lang w:val="nl-NL"/>
              </w:rPr>
            </w:pPr>
          </w:p>
        </w:tc>
        <w:tc>
          <w:tcPr>
            <w:tcW w:w="5104" w:type="dxa"/>
          </w:tcPr>
          <w:p w14:paraId="53C5CD60" w14:textId="77777777" w:rsidR="00477C89" w:rsidRPr="000E19FE" w:rsidRDefault="00477C89" w:rsidP="00477C89">
            <w:pPr>
              <w:spacing w:after="0" w:line="240" w:lineRule="auto"/>
              <w:jc w:val="both"/>
              <w:outlineLvl w:val="0"/>
              <w:rPr>
                <w:rFonts w:ascii="Arial" w:eastAsia="Times New Roman" w:hAnsi="Arial" w:cs="Arial"/>
                <w:lang w:val="nl-NL"/>
              </w:rPr>
            </w:pPr>
          </w:p>
        </w:tc>
      </w:tr>
      <w:tr w:rsidR="00477C89" w:rsidRPr="00A827F1" w14:paraId="0108C154" w14:textId="77777777" w:rsidTr="005F50EE">
        <w:tc>
          <w:tcPr>
            <w:tcW w:w="5104" w:type="dxa"/>
          </w:tcPr>
          <w:p w14:paraId="5F179C34" w14:textId="0F0C55AA" w:rsidR="00477C89" w:rsidRPr="00271A69"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 xml:space="preserve">Il est prévu une dérogation à la règle générale d’exigence de production de documents originaux pour les assurés sociaux avec un scope strictement limité aux documents nécessaires à la gestion de leur dossier d’assurabilité </w:t>
            </w:r>
            <w:r>
              <w:rPr>
                <w:rFonts w:ascii="Arial" w:eastAsia="Times New Roman" w:hAnsi="Arial" w:cs="Arial"/>
                <w:lang w:val="fr-FR"/>
              </w:rPr>
              <w:t>ainsi qu’aux documents relatifs à l’</w:t>
            </w:r>
            <w:r w:rsidRPr="00271A69">
              <w:rPr>
                <w:rFonts w:ascii="Arial" w:eastAsia="Times New Roman" w:hAnsi="Arial" w:cs="Arial"/>
                <w:lang w:val="fr-FR"/>
              </w:rPr>
              <w:t>accessibilité financière au sens strict</w:t>
            </w:r>
            <w:r>
              <w:rPr>
                <w:rFonts w:ascii="Arial" w:eastAsia="Times New Roman" w:hAnsi="Arial" w:cs="Arial"/>
                <w:lang w:val="fr-FR"/>
              </w:rPr>
              <w:t xml:space="preserve"> (par exemple</w:t>
            </w:r>
            <w:r w:rsidRPr="00271A69">
              <w:rPr>
                <w:rFonts w:ascii="Arial" w:eastAsia="Times New Roman" w:hAnsi="Arial" w:cs="Arial"/>
                <w:lang w:val="fr-FR"/>
              </w:rPr>
              <w:t xml:space="preserve"> pour le droit à l’intervention majorée. Cette dérogation ne vaut donc pas pour les documents visant à obtenir des remboursements de prestations de l’assurance soins de santé.</w:t>
            </w:r>
          </w:p>
        </w:tc>
        <w:tc>
          <w:tcPr>
            <w:tcW w:w="5104" w:type="dxa"/>
          </w:tcPr>
          <w:p w14:paraId="27D066E9" w14:textId="2D028CFB"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t>Er wordt een afwijking voorzien op de algemene regel die de voorlegging van originele documenten vereist voor sociaal verzekerden, met een scope die strikt beperkt is tot documenten die nodig zijn voor het beheer van hun dossier inzake verzekerbaarheid</w:t>
            </w:r>
            <w:r>
              <w:rPr>
                <w:rFonts w:ascii="Arial" w:eastAsia="Times New Roman" w:hAnsi="Arial" w:cs="Arial"/>
                <w:lang w:val="nl-NL"/>
              </w:rPr>
              <w:t>, evenals voor documenten betreffende de</w:t>
            </w:r>
            <w:r w:rsidRPr="00271A69">
              <w:rPr>
                <w:rFonts w:ascii="Arial" w:eastAsia="Times New Roman" w:hAnsi="Arial" w:cs="Arial"/>
                <w:lang w:val="nl-NL"/>
              </w:rPr>
              <w:t xml:space="preserve"> financiële toegankelijkheid in strikte zin</w:t>
            </w:r>
            <w:r>
              <w:rPr>
                <w:rFonts w:ascii="Arial" w:eastAsia="Times New Roman" w:hAnsi="Arial" w:cs="Arial"/>
                <w:lang w:val="nl-NL"/>
              </w:rPr>
              <w:t xml:space="preserve"> (bijvoorbeeld</w:t>
            </w:r>
            <w:r w:rsidRPr="00271A69">
              <w:rPr>
                <w:rFonts w:ascii="Arial" w:eastAsia="Times New Roman" w:hAnsi="Arial" w:cs="Arial"/>
                <w:lang w:val="nl-NL"/>
              </w:rPr>
              <w:t xml:space="preserve"> voor het recht op de verhoogde tegemoetkoming</w:t>
            </w:r>
            <w:r>
              <w:rPr>
                <w:rFonts w:ascii="Arial" w:eastAsia="Times New Roman" w:hAnsi="Arial" w:cs="Arial"/>
                <w:lang w:val="nl-NL"/>
              </w:rPr>
              <w:t>)</w:t>
            </w:r>
            <w:r w:rsidRPr="00271A69">
              <w:rPr>
                <w:rFonts w:ascii="Arial" w:eastAsia="Times New Roman" w:hAnsi="Arial" w:cs="Arial"/>
                <w:lang w:val="nl-NL"/>
              </w:rPr>
              <w:t>. Deze afwijking geldt dus niet voor documenten die tot doel hebben om terugbetalingen van prestaties van de verzekering voor geneeskundige verzorging te verkrijgen.</w:t>
            </w:r>
          </w:p>
        </w:tc>
      </w:tr>
      <w:tr w:rsidR="00477C89" w:rsidRPr="00A827F1" w14:paraId="69FACC2D" w14:textId="77777777" w:rsidTr="005F50EE">
        <w:tc>
          <w:tcPr>
            <w:tcW w:w="5104" w:type="dxa"/>
          </w:tcPr>
          <w:p w14:paraId="58B10943" w14:textId="77777777" w:rsidR="00477C89" w:rsidRPr="00F83FD0" w:rsidRDefault="00477C89" w:rsidP="00477C89">
            <w:pPr>
              <w:spacing w:after="0" w:line="240" w:lineRule="auto"/>
              <w:jc w:val="both"/>
              <w:outlineLvl w:val="0"/>
              <w:rPr>
                <w:rFonts w:ascii="Arial" w:eastAsia="Times New Roman" w:hAnsi="Arial" w:cs="Arial"/>
                <w:lang w:val="nl-NL"/>
              </w:rPr>
            </w:pPr>
          </w:p>
        </w:tc>
        <w:tc>
          <w:tcPr>
            <w:tcW w:w="5104" w:type="dxa"/>
          </w:tcPr>
          <w:p w14:paraId="1ABD4488"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31F2C32A" w14:textId="77777777" w:rsidTr="005F50EE">
        <w:tc>
          <w:tcPr>
            <w:tcW w:w="5104" w:type="dxa"/>
          </w:tcPr>
          <w:p w14:paraId="16917ED3" w14:textId="7CB16BD7" w:rsidR="00477C89" w:rsidRPr="00271A69"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Durant la période de la COVID 19, la transmission de documents relatifs à l’assurabilité et l’accessibilité administrative et financière par les assurés pouvait exceptionnellement se faire de manière digitale,  ceci en vertu de l’arrêté royal n°21 du 14 mai 2020 portant des adaptations temporaires aux conditions de remboursement et aux règles administratives en matière d’assurance obligatoire soins de santé suite à la pandémie COVID-19. Cet arrêté numéroté cessera de produire ses effets au 31</w:t>
            </w:r>
            <w:r>
              <w:rPr>
                <w:rFonts w:ascii="Arial" w:eastAsia="Times New Roman" w:hAnsi="Arial" w:cs="Arial"/>
                <w:lang w:val="fr-FR"/>
              </w:rPr>
              <w:t xml:space="preserve"> décembre </w:t>
            </w:r>
            <w:r w:rsidRPr="00271A69">
              <w:rPr>
                <w:rFonts w:ascii="Arial" w:eastAsia="Times New Roman" w:hAnsi="Arial" w:cs="Arial"/>
                <w:lang w:val="fr-FR"/>
              </w:rPr>
              <w:t xml:space="preserve">2025. </w:t>
            </w:r>
          </w:p>
        </w:tc>
        <w:tc>
          <w:tcPr>
            <w:tcW w:w="5104" w:type="dxa"/>
          </w:tcPr>
          <w:p w14:paraId="66BB13C8" w14:textId="265E8A99"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t>Tijdens de COVID-19 periode konden verzekerden hun documenten inzake administratieve en financiële verzekerbaarheid en toegankelijkheid uitzonderlijk digitaal overmaken, en dit op grond van het koninklijk besluit nr. 21 van 14 mei 2020 houdende tijdelijke aanpassingen aan de vergoedingsvoorwaarden en administratieve regels in de verplichte verzekering voor geneeskundige verzorging ten gevolge van de COVID-19 pandemie. Dit genummerd besluit houdt op uitwerking te hebben op 31</w:t>
            </w:r>
            <w:r>
              <w:rPr>
                <w:rFonts w:ascii="Arial" w:eastAsia="Times New Roman" w:hAnsi="Arial" w:cs="Arial"/>
                <w:lang w:val="nl-NL"/>
              </w:rPr>
              <w:t xml:space="preserve"> december </w:t>
            </w:r>
            <w:r w:rsidRPr="00271A69">
              <w:rPr>
                <w:rFonts w:ascii="Arial" w:eastAsia="Times New Roman" w:hAnsi="Arial" w:cs="Arial"/>
                <w:lang w:val="nl-NL"/>
              </w:rPr>
              <w:t>2025.</w:t>
            </w:r>
          </w:p>
        </w:tc>
      </w:tr>
      <w:tr w:rsidR="00477C89" w:rsidRPr="00A827F1" w14:paraId="04A9428F" w14:textId="77777777" w:rsidTr="005F50EE">
        <w:tc>
          <w:tcPr>
            <w:tcW w:w="5104" w:type="dxa"/>
          </w:tcPr>
          <w:p w14:paraId="6D7A7143" w14:textId="77777777" w:rsidR="00477C89" w:rsidRPr="00271A69" w:rsidRDefault="00477C89" w:rsidP="00477C89">
            <w:pPr>
              <w:spacing w:after="0" w:line="240" w:lineRule="auto"/>
              <w:jc w:val="both"/>
              <w:outlineLvl w:val="0"/>
              <w:rPr>
                <w:rFonts w:ascii="Arial" w:eastAsia="Times New Roman" w:hAnsi="Arial" w:cs="Arial"/>
                <w:lang w:val="nl-NL"/>
              </w:rPr>
            </w:pPr>
          </w:p>
        </w:tc>
        <w:tc>
          <w:tcPr>
            <w:tcW w:w="5104" w:type="dxa"/>
          </w:tcPr>
          <w:p w14:paraId="0D58044A"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0F2FF73D" w14:textId="77777777" w:rsidTr="005F50EE">
        <w:tc>
          <w:tcPr>
            <w:tcW w:w="5104" w:type="dxa"/>
          </w:tcPr>
          <w:p w14:paraId="223FCFD5" w14:textId="77777777" w:rsidR="00477C89" w:rsidRPr="00271A69"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 xml:space="preserve">Cette souplesse dans les règles s’expliquait par le contexte particulier de la pandémie. Il semble pertinent, dans le but de faciliter le suivi administratif pour les assurés et les citoyens, de créer une continuité de cette mesure COVID. Il est notamment jugé opportun de maintenir la possibilité de travailler sur base de copies et ce à nouveau pour les documents d’assurabilité et d’accessibilité financière au sens strict des assurés sociaux. </w:t>
            </w:r>
          </w:p>
          <w:p w14:paraId="72FDFA97" w14:textId="77777777" w:rsidR="00477C89" w:rsidRPr="00F83FD0" w:rsidRDefault="00477C89" w:rsidP="00477C89">
            <w:pPr>
              <w:spacing w:after="0" w:line="240" w:lineRule="auto"/>
              <w:jc w:val="both"/>
              <w:outlineLvl w:val="0"/>
              <w:rPr>
                <w:rFonts w:ascii="Arial" w:eastAsia="Times New Roman" w:hAnsi="Arial" w:cs="Arial"/>
                <w:lang w:val="fr-FR"/>
              </w:rPr>
            </w:pPr>
          </w:p>
        </w:tc>
        <w:tc>
          <w:tcPr>
            <w:tcW w:w="5104" w:type="dxa"/>
          </w:tcPr>
          <w:p w14:paraId="14836114" w14:textId="1D9C82E6"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t xml:space="preserve">De soepelheid die toen werd toegestaan, was ingegeven door de bijzondere context van de pandemie. Het lijkt opportuun om met oog op het faciliteren van de administratieve opvolging voor verzekerden en burgers continuïteit te creëren ten overstaan van deze COVID maatregel. Het wordt met name gepast geacht om de mogelijkheid tot werken met kopieën te behouden, en zulks   opnieuw voor documenten inzake verzekerbaarheid en financiële toegankelijkheid in strikte zin van sociaal verzekerden. </w:t>
            </w:r>
          </w:p>
        </w:tc>
      </w:tr>
      <w:tr w:rsidR="00477C89" w:rsidRPr="00A827F1" w14:paraId="4EF9466B" w14:textId="77777777" w:rsidTr="005F50EE">
        <w:tc>
          <w:tcPr>
            <w:tcW w:w="5104" w:type="dxa"/>
          </w:tcPr>
          <w:p w14:paraId="217770F3" w14:textId="77777777" w:rsidR="00477C89" w:rsidRPr="00271A69" w:rsidRDefault="00477C89" w:rsidP="00477C89">
            <w:pPr>
              <w:spacing w:after="0" w:line="240" w:lineRule="auto"/>
              <w:jc w:val="both"/>
              <w:outlineLvl w:val="0"/>
              <w:rPr>
                <w:rFonts w:ascii="Arial" w:eastAsia="Times New Roman" w:hAnsi="Arial" w:cs="Arial"/>
                <w:lang w:val="nl-NL"/>
              </w:rPr>
            </w:pPr>
          </w:p>
        </w:tc>
        <w:tc>
          <w:tcPr>
            <w:tcW w:w="5104" w:type="dxa"/>
          </w:tcPr>
          <w:p w14:paraId="7E34E9C6"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28D3CE1E" w14:textId="77777777" w:rsidTr="005F50EE">
        <w:tc>
          <w:tcPr>
            <w:tcW w:w="5104" w:type="dxa"/>
          </w:tcPr>
          <w:p w14:paraId="4F931BE0" w14:textId="77777777" w:rsidR="00477C89" w:rsidRPr="00271A69"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Il s'agit donc aussi bien des copies papier et digitales des attestations et documents établis par des tiers, que des formulaires ou déclarations qui doivent être remplis par les assurés sociaux.</w:t>
            </w:r>
          </w:p>
          <w:p w14:paraId="2008CF4D" w14:textId="77777777" w:rsidR="00477C89" w:rsidRPr="00271A69" w:rsidRDefault="00477C89" w:rsidP="00477C89">
            <w:pPr>
              <w:spacing w:after="0" w:line="240" w:lineRule="auto"/>
              <w:jc w:val="both"/>
              <w:outlineLvl w:val="0"/>
              <w:rPr>
                <w:rFonts w:ascii="Arial" w:eastAsia="Times New Roman" w:hAnsi="Arial" w:cs="Arial"/>
                <w:lang w:val="fr-FR"/>
              </w:rPr>
            </w:pPr>
          </w:p>
        </w:tc>
        <w:tc>
          <w:tcPr>
            <w:tcW w:w="5104" w:type="dxa"/>
          </w:tcPr>
          <w:p w14:paraId="0D058BE0" w14:textId="6E9F8101"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t>Het betreft aldus zowel papieren als digitale kopieën van enerzijds attesten en documenten die door derden zijn opgemaakt, en anderzijds formulieren of verklaringen die door de sociaal verzekerde</w:t>
            </w:r>
            <w:r>
              <w:rPr>
                <w:rFonts w:ascii="Arial" w:eastAsia="Times New Roman" w:hAnsi="Arial" w:cs="Arial"/>
                <w:lang w:val="nl-NL"/>
              </w:rPr>
              <w:t>n</w:t>
            </w:r>
            <w:r w:rsidRPr="00271A69">
              <w:rPr>
                <w:rFonts w:ascii="Arial" w:eastAsia="Times New Roman" w:hAnsi="Arial" w:cs="Arial"/>
                <w:lang w:val="nl-NL"/>
              </w:rPr>
              <w:t xml:space="preserve"> dienen te worden ingevuld.</w:t>
            </w:r>
          </w:p>
        </w:tc>
      </w:tr>
      <w:tr w:rsidR="00477C89" w:rsidRPr="00A827F1" w14:paraId="6B80BA7A" w14:textId="77777777" w:rsidTr="005F50EE">
        <w:tc>
          <w:tcPr>
            <w:tcW w:w="5104" w:type="dxa"/>
          </w:tcPr>
          <w:p w14:paraId="35EF6F4A" w14:textId="77777777" w:rsidR="00477C89" w:rsidRPr="00271A69" w:rsidRDefault="00477C89" w:rsidP="00477C89">
            <w:pPr>
              <w:spacing w:after="0" w:line="240" w:lineRule="auto"/>
              <w:jc w:val="both"/>
              <w:outlineLvl w:val="0"/>
              <w:rPr>
                <w:rFonts w:ascii="Arial" w:eastAsia="Times New Roman" w:hAnsi="Arial" w:cs="Arial"/>
                <w:lang w:val="nl-NL"/>
              </w:rPr>
            </w:pPr>
          </w:p>
        </w:tc>
        <w:tc>
          <w:tcPr>
            <w:tcW w:w="5104" w:type="dxa"/>
          </w:tcPr>
          <w:p w14:paraId="3D8D2993"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7848B7E0" w14:textId="77777777" w:rsidTr="005F50EE">
        <w:tc>
          <w:tcPr>
            <w:tcW w:w="5104" w:type="dxa"/>
          </w:tcPr>
          <w:p w14:paraId="2F607D83" w14:textId="321A4AA2" w:rsidR="00477C89" w:rsidRPr="00271A69"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 xml:space="preserve">En effet, la digitalisation en cours doit également créer des possibilités pour les assurés eux-mêmes mais ceux-ci n’ont pas nécessairement les moyens </w:t>
            </w:r>
            <w:r w:rsidRPr="00271A69">
              <w:rPr>
                <w:rFonts w:ascii="Arial" w:eastAsia="Times New Roman" w:hAnsi="Arial" w:cs="Arial"/>
                <w:lang w:val="fr-FR"/>
              </w:rPr>
              <w:lastRenderedPageBreak/>
              <w:t xml:space="preserve">de produire des documents électroniques originaux. </w:t>
            </w:r>
          </w:p>
        </w:tc>
        <w:tc>
          <w:tcPr>
            <w:tcW w:w="5104" w:type="dxa"/>
          </w:tcPr>
          <w:p w14:paraId="23BBD78B" w14:textId="022B1349"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lastRenderedPageBreak/>
              <w:t xml:space="preserve">De voortschrijdende digitalisering moet immers ook mogelijkheden creëren voor de verzekerden zelf, </w:t>
            </w:r>
            <w:r w:rsidRPr="00271A69">
              <w:rPr>
                <w:rFonts w:ascii="Arial" w:eastAsia="Times New Roman" w:hAnsi="Arial" w:cs="Arial"/>
                <w:lang w:val="nl-NL"/>
              </w:rPr>
              <w:lastRenderedPageBreak/>
              <w:t>maar niet iedereen beschikt over de middelen om originele elektronische documenten voor te leggen.</w:t>
            </w:r>
          </w:p>
        </w:tc>
      </w:tr>
      <w:tr w:rsidR="00477C89" w:rsidRPr="00A827F1" w14:paraId="3DA206B6" w14:textId="77777777" w:rsidTr="005F50EE">
        <w:tc>
          <w:tcPr>
            <w:tcW w:w="5104" w:type="dxa"/>
          </w:tcPr>
          <w:p w14:paraId="74E55875" w14:textId="77777777" w:rsidR="00477C89" w:rsidRPr="00271A69" w:rsidRDefault="00477C89" w:rsidP="00477C89">
            <w:pPr>
              <w:spacing w:after="0" w:line="240" w:lineRule="auto"/>
              <w:jc w:val="both"/>
              <w:outlineLvl w:val="0"/>
              <w:rPr>
                <w:rFonts w:ascii="Arial" w:eastAsia="Times New Roman" w:hAnsi="Arial" w:cs="Arial"/>
                <w:lang w:val="nl-NL"/>
              </w:rPr>
            </w:pPr>
          </w:p>
        </w:tc>
        <w:tc>
          <w:tcPr>
            <w:tcW w:w="5104" w:type="dxa"/>
          </w:tcPr>
          <w:p w14:paraId="1D7F746C"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3A4D8D80" w14:textId="77777777" w:rsidTr="005F50EE">
        <w:tc>
          <w:tcPr>
            <w:tcW w:w="5104" w:type="dxa"/>
          </w:tcPr>
          <w:p w14:paraId="6375E3DA" w14:textId="169FF115" w:rsidR="00477C89" w:rsidRPr="00F83FD0"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Les documents d’assurabilité et d’accessibilité financière au sens strict (notamment le suivi du droit à l’intervention majorée) contiennent des informations qui peuvent être recoupées et sont directement liées au statut des bénéficiaires, ce qui les rend moins sensibles à la fraude que, par exemple, des demandes de remboursements. Dans de nombreux cas, il s'agit aussi d'attestations ou de documents délivrés par des instances où une copie et un original ne sont pas toujours faciles à distinguer dans la pratique, de sorte que cette distinction devient également relative lors de leur délivrance.</w:t>
            </w:r>
          </w:p>
        </w:tc>
        <w:tc>
          <w:tcPr>
            <w:tcW w:w="5104" w:type="dxa"/>
          </w:tcPr>
          <w:p w14:paraId="3CB30181" w14:textId="6DEC204C"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t>De documenten van verzekerbaarheid en financiële toegankelijkheid in strikte zin (met name de opvolging van het recht op verhoogde tegemoetkoming) bevatten gegevens die verifieerbaar zijn en rechtstreeks verband houden met het statuut van de rechthebbenden, waardoor ze minder gevoelig zijn voor fraude dan bijvoorbeeld terugbetalingsaanvragen.  In vele gevallen gaat het ook om attesten of documenten uitgereikt door instanties waarbij een kopie en een origineel in de praktijk niet altijd makkelijk te onderscheiden zijn, zodat dit onderscheid bij voorleggen ook relatief wordt.</w:t>
            </w:r>
          </w:p>
        </w:tc>
      </w:tr>
      <w:tr w:rsidR="00477C89" w:rsidRPr="00A827F1" w14:paraId="3427E863" w14:textId="77777777" w:rsidTr="005F50EE">
        <w:tc>
          <w:tcPr>
            <w:tcW w:w="5104" w:type="dxa"/>
          </w:tcPr>
          <w:p w14:paraId="57E61819" w14:textId="77777777" w:rsidR="00477C89" w:rsidRPr="00271A69" w:rsidRDefault="00477C89" w:rsidP="00477C89">
            <w:pPr>
              <w:spacing w:after="0" w:line="240" w:lineRule="auto"/>
              <w:jc w:val="both"/>
              <w:outlineLvl w:val="0"/>
              <w:rPr>
                <w:rFonts w:ascii="Arial" w:eastAsia="Times New Roman" w:hAnsi="Arial" w:cs="Arial"/>
                <w:lang w:val="nl-NL"/>
              </w:rPr>
            </w:pPr>
          </w:p>
        </w:tc>
        <w:tc>
          <w:tcPr>
            <w:tcW w:w="5104" w:type="dxa"/>
          </w:tcPr>
          <w:p w14:paraId="31375E42"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65A3EB4C" w14:textId="77777777" w:rsidTr="005F50EE">
        <w:tc>
          <w:tcPr>
            <w:tcW w:w="5104" w:type="dxa"/>
          </w:tcPr>
          <w:p w14:paraId="63779759" w14:textId="5DB10656" w:rsidR="00477C89" w:rsidRPr="00271A69" w:rsidRDefault="00477C89" w:rsidP="00477C89">
            <w:pPr>
              <w:spacing w:after="0" w:line="240" w:lineRule="auto"/>
              <w:jc w:val="both"/>
              <w:outlineLvl w:val="0"/>
              <w:rPr>
                <w:rFonts w:ascii="Arial" w:eastAsia="Times New Roman" w:hAnsi="Arial" w:cs="Arial"/>
                <w:lang w:val="fr-FR"/>
              </w:rPr>
            </w:pPr>
            <w:r w:rsidRPr="00271A69">
              <w:rPr>
                <w:rFonts w:ascii="Arial" w:eastAsia="Times New Roman" w:hAnsi="Arial" w:cs="Arial"/>
                <w:lang w:val="fr-FR"/>
              </w:rPr>
              <w:t>La transmission digitale des documents doit s’effectuer conformément aux règles générales en vigueur visant à assurer une transmission sécurisée et conforme au principe du Règlement général sur la protection des données. Par conséquent, il n’ y a pas lieu de reprendre ces règles explicitement dans ce projet de disposition pour la loi relative à l'assurance maladie obligatoire.</w:t>
            </w:r>
          </w:p>
        </w:tc>
        <w:tc>
          <w:tcPr>
            <w:tcW w:w="5104" w:type="dxa"/>
          </w:tcPr>
          <w:p w14:paraId="69ECF5CD" w14:textId="77777777" w:rsidR="00477C89" w:rsidRPr="00271A69" w:rsidRDefault="00477C89" w:rsidP="00477C89">
            <w:pPr>
              <w:spacing w:after="0" w:line="240" w:lineRule="auto"/>
              <w:jc w:val="both"/>
              <w:outlineLvl w:val="0"/>
              <w:rPr>
                <w:rFonts w:ascii="Arial" w:eastAsia="Times New Roman" w:hAnsi="Arial" w:cs="Arial"/>
                <w:lang w:val="nl-NL"/>
              </w:rPr>
            </w:pPr>
            <w:r w:rsidRPr="00271A69">
              <w:rPr>
                <w:rFonts w:ascii="Arial" w:eastAsia="Times New Roman" w:hAnsi="Arial" w:cs="Arial"/>
                <w:lang w:val="nl-NL"/>
              </w:rPr>
              <w:t>De digitale overdracht zelf van documenten dient te gebeuren overeenkomstig de geldende algemene regels, met het oog op een veilige verzending en in overeenstemming met de Algemene Verordening Gegevensbescherming. Er is bijgevolg geen reden om deze regels nogmaals expliciet  te hernemen in dit ontwerp van bepaling voor de wet op de verplichte ziekteverzekering.</w:t>
            </w:r>
          </w:p>
          <w:p w14:paraId="7DF61C2D"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5049FB4F" w14:textId="77777777" w:rsidTr="005F50EE">
        <w:tc>
          <w:tcPr>
            <w:tcW w:w="5104" w:type="dxa"/>
          </w:tcPr>
          <w:p w14:paraId="0B872E67" w14:textId="77777777" w:rsidR="00477C89" w:rsidRPr="00271A69" w:rsidRDefault="00477C89" w:rsidP="00477C89">
            <w:pPr>
              <w:spacing w:after="0" w:line="240" w:lineRule="auto"/>
              <w:jc w:val="both"/>
              <w:outlineLvl w:val="0"/>
              <w:rPr>
                <w:rFonts w:ascii="Arial" w:eastAsia="Times New Roman" w:hAnsi="Arial" w:cs="Arial"/>
                <w:lang w:val="nl-NL"/>
              </w:rPr>
            </w:pPr>
          </w:p>
        </w:tc>
        <w:tc>
          <w:tcPr>
            <w:tcW w:w="5104" w:type="dxa"/>
          </w:tcPr>
          <w:p w14:paraId="5C0BEB2D" w14:textId="77777777" w:rsidR="00477C89" w:rsidRPr="00271A69" w:rsidRDefault="00477C89" w:rsidP="00477C89">
            <w:pPr>
              <w:spacing w:after="0" w:line="240" w:lineRule="auto"/>
              <w:jc w:val="both"/>
              <w:outlineLvl w:val="0"/>
              <w:rPr>
                <w:rFonts w:ascii="Arial" w:eastAsia="Times New Roman" w:hAnsi="Arial" w:cs="Arial"/>
                <w:lang w:val="nl-NL"/>
              </w:rPr>
            </w:pPr>
          </w:p>
        </w:tc>
      </w:tr>
      <w:tr w:rsidR="00477C89" w:rsidRPr="00A827F1" w14:paraId="5972C2A8" w14:textId="77777777" w:rsidTr="005F50EE">
        <w:tc>
          <w:tcPr>
            <w:tcW w:w="5104" w:type="dxa"/>
          </w:tcPr>
          <w:p w14:paraId="6EF6138D" w14:textId="55E755DE" w:rsidR="00477C89" w:rsidRPr="00DF4489" w:rsidRDefault="00477C89" w:rsidP="00477C89">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X+4</w:t>
            </w:r>
            <w:r w:rsidRPr="00DF4489">
              <w:rPr>
                <w:rFonts w:ascii="Arial" w:eastAsia="Times New Roman" w:hAnsi="Arial" w:cs="Arial"/>
                <w:b/>
                <w:i/>
                <w:lang w:val="fr-FR"/>
              </w:rPr>
              <w:t xml:space="preserve"> – </w:t>
            </w:r>
            <w:r>
              <w:rPr>
                <w:rFonts w:ascii="Arial" w:eastAsia="Times New Roman" w:hAnsi="Arial" w:cs="Arial"/>
                <w:b/>
                <w:i/>
                <w:lang w:val="fr-FR"/>
              </w:rPr>
              <w:t>Représentation des entités fédérées dans les organes de gestion</w:t>
            </w:r>
          </w:p>
        </w:tc>
        <w:tc>
          <w:tcPr>
            <w:tcW w:w="5104" w:type="dxa"/>
          </w:tcPr>
          <w:p w14:paraId="11AB274C" w14:textId="26D619F0" w:rsidR="00477C89" w:rsidRPr="00371224" w:rsidRDefault="00477C89" w:rsidP="00477C89">
            <w:pPr>
              <w:spacing w:after="0" w:line="240" w:lineRule="auto"/>
              <w:jc w:val="center"/>
              <w:outlineLvl w:val="0"/>
              <w:rPr>
                <w:rFonts w:ascii="Arial" w:eastAsia="Times New Roman" w:hAnsi="Arial" w:cs="Arial"/>
                <w:i/>
                <w:lang w:val="nl-NL"/>
              </w:rPr>
            </w:pPr>
            <w:commentRangeStart w:id="6"/>
            <w:r w:rsidRPr="00DF4489">
              <w:rPr>
                <w:rFonts w:ascii="Arial" w:eastAsia="Times New Roman" w:hAnsi="Arial" w:cs="Arial"/>
                <w:b/>
                <w:i/>
                <w:lang w:val="nl-BE"/>
              </w:rPr>
              <w:t xml:space="preserve">Afdeling </w:t>
            </w:r>
            <w:r>
              <w:rPr>
                <w:rFonts w:ascii="Arial" w:eastAsia="Times New Roman" w:hAnsi="Arial" w:cs="Arial"/>
                <w:b/>
                <w:i/>
                <w:lang w:val="nl-BE"/>
              </w:rPr>
              <w:t>X+4</w:t>
            </w:r>
            <w:r w:rsidRPr="00DF4489">
              <w:rPr>
                <w:rFonts w:ascii="Arial" w:eastAsia="Times New Roman" w:hAnsi="Arial" w:cs="Arial"/>
                <w:b/>
                <w:i/>
                <w:lang w:val="nl-BE"/>
              </w:rPr>
              <w:t xml:space="preserve"> -</w:t>
            </w:r>
            <w:r w:rsidRPr="00371224">
              <w:rPr>
                <w:lang w:val="nl-NL"/>
              </w:rPr>
              <w:t xml:space="preserve"> </w:t>
            </w:r>
            <w:r>
              <w:rPr>
                <w:rFonts w:ascii="Arial" w:eastAsia="Times New Roman" w:hAnsi="Arial" w:cs="Arial"/>
                <w:b/>
                <w:i/>
                <w:lang w:val="nl-BE"/>
              </w:rPr>
              <w:t>Vertegenwoordiging van</w:t>
            </w:r>
            <w:r w:rsidRPr="00371224">
              <w:rPr>
                <w:rFonts w:ascii="Arial" w:eastAsia="Times New Roman" w:hAnsi="Arial" w:cs="Arial"/>
                <w:b/>
                <w:i/>
                <w:lang w:val="nl-BE"/>
              </w:rPr>
              <w:t xml:space="preserve"> deelstaten in beheersorganen </w:t>
            </w:r>
            <w:r w:rsidRPr="00DF4489">
              <w:rPr>
                <w:rFonts w:ascii="Arial" w:eastAsia="Times New Roman" w:hAnsi="Arial" w:cs="Arial"/>
                <w:b/>
                <w:i/>
                <w:lang w:val="nl-BE"/>
              </w:rPr>
              <w:t xml:space="preserve"> </w:t>
            </w:r>
            <w:commentRangeEnd w:id="6"/>
            <w:r>
              <w:rPr>
                <w:rStyle w:val="Verwijzingopmerking"/>
              </w:rPr>
              <w:commentReference w:id="6"/>
            </w:r>
          </w:p>
        </w:tc>
      </w:tr>
      <w:bookmarkEnd w:id="3"/>
      <w:tr w:rsidR="00477C89" w:rsidRPr="00A827F1" w14:paraId="36FF0430" w14:textId="77777777" w:rsidTr="005F50EE">
        <w:tc>
          <w:tcPr>
            <w:tcW w:w="5104" w:type="dxa"/>
          </w:tcPr>
          <w:p w14:paraId="7FA7EF23" w14:textId="77777777" w:rsidR="00477C89" w:rsidRPr="00371224" w:rsidRDefault="00477C89" w:rsidP="00477C89">
            <w:pPr>
              <w:spacing w:after="0" w:line="240" w:lineRule="auto"/>
              <w:jc w:val="both"/>
              <w:outlineLvl w:val="0"/>
              <w:rPr>
                <w:rFonts w:ascii="Arial" w:eastAsia="Times New Roman" w:hAnsi="Arial" w:cs="Arial"/>
                <w:lang w:val="nl-NL"/>
              </w:rPr>
            </w:pPr>
          </w:p>
        </w:tc>
        <w:tc>
          <w:tcPr>
            <w:tcW w:w="5104" w:type="dxa"/>
          </w:tcPr>
          <w:p w14:paraId="22A28585" w14:textId="7159087F" w:rsidR="00477C89" w:rsidRPr="00371224" w:rsidRDefault="00477C89" w:rsidP="00477C89">
            <w:pPr>
              <w:spacing w:after="0" w:line="240" w:lineRule="auto"/>
              <w:jc w:val="both"/>
              <w:outlineLvl w:val="0"/>
              <w:rPr>
                <w:rFonts w:ascii="Arial" w:eastAsia="Times New Roman" w:hAnsi="Arial" w:cs="Arial"/>
                <w:lang w:val="nl-NL"/>
              </w:rPr>
            </w:pPr>
          </w:p>
        </w:tc>
      </w:tr>
      <w:tr w:rsidR="00477C89" w:rsidRPr="00A827F1" w14:paraId="03C73BBB" w14:textId="77777777" w:rsidTr="005F50EE">
        <w:tc>
          <w:tcPr>
            <w:tcW w:w="5104" w:type="dxa"/>
          </w:tcPr>
          <w:p w14:paraId="2281ECFB" w14:textId="77777777" w:rsidR="00477C89" w:rsidRPr="00DF79CA" w:rsidRDefault="00477C89" w:rsidP="00477C89">
            <w:pPr>
              <w:spacing w:after="0" w:line="240" w:lineRule="auto"/>
              <w:jc w:val="both"/>
              <w:outlineLvl w:val="0"/>
              <w:rPr>
                <w:rFonts w:ascii="Arial" w:eastAsia="Times New Roman" w:hAnsi="Arial" w:cs="Arial"/>
                <w:bCs/>
                <w:lang w:val="fr-FR"/>
              </w:rPr>
            </w:pPr>
            <w:r w:rsidRPr="00DF79CA">
              <w:rPr>
                <w:rFonts w:ascii="Arial" w:eastAsia="Times New Roman" w:hAnsi="Arial" w:cs="Arial"/>
                <w:bCs/>
                <w:lang w:val="fr-FR"/>
              </w:rPr>
              <w:t>Conformément à l’accord de gouvernement fédéral qui fixe comme objectif important la poursuite d’une politique de soins de santé cohérente au profit du patient entre l’autorité fédérale et les entités fédérées, il est prévu la possibilité pour les entités fédérées d’être représentées, avec voix consultative, au sein du Comité de l’assurance institué auprès du Service des soins de santé de l’INAMI et d’assister ainsi aux réunions de cet organe.</w:t>
            </w:r>
          </w:p>
          <w:p w14:paraId="2CA5BDE1" w14:textId="58C64F0B" w:rsidR="00477C89" w:rsidRPr="00DF79CA" w:rsidRDefault="00477C89" w:rsidP="00477C89">
            <w:pPr>
              <w:spacing w:after="0" w:line="240" w:lineRule="auto"/>
              <w:jc w:val="both"/>
              <w:outlineLvl w:val="0"/>
              <w:rPr>
                <w:rFonts w:ascii="Arial" w:eastAsia="Times New Roman" w:hAnsi="Arial" w:cs="Arial"/>
                <w:bCs/>
                <w:lang w:val="fr-FR"/>
              </w:rPr>
            </w:pPr>
          </w:p>
        </w:tc>
        <w:tc>
          <w:tcPr>
            <w:tcW w:w="5104" w:type="dxa"/>
          </w:tcPr>
          <w:p w14:paraId="70506486" w14:textId="57B0707D" w:rsidR="00477C89" w:rsidRPr="00DF4489" w:rsidRDefault="00477C89" w:rsidP="00477C89">
            <w:pPr>
              <w:spacing w:after="0" w:line="240" w:lineRule="auto"/>
              <w:jc w:val="both"/>
              <w:outlineLvl w:val="0"/>
              <w:rPr>
                <w:rFonts w:ascii="Arial" w:eastAsia="Times New Roman" w:hAnsi="Arial" w:cs="Arial"/>
                <w:lang w:val="nl-BE"/>
              </w:rPr>
            </w:pPr>
            <w:r w:rsidRPr="00410616">
              <w:rPr>
                <w:rFonts w:ascii="Arial" w:eastAsia="Times New Roman" w:hAnsi="Arial" w:cs="Arial"/>
                <w:lang w:val="nl-BE"/>
              </w:rPr>
              <w:t>Overeenkomstig het federaal regeerakkoord waarin het streven naar een coherent gezondheidszorgbeleid ten bate van de patiënt tussen de federale overheid en de deelstaten als een belangrijke doelstelling wordt vooropgesteld, wordt bij deze voorzien in de mogelijkheid voor de deelstaten om, met raadgevende stem, vertegenwoordigd te zijn in het Verzekeringscomité ingesteld bij de Dienst voor geneeskundige verzorging bij het RIZIV en zodoende de vergaderingen van dat orgaan bij te wonen.</w:t>
            </w:r>
          </w:p>
        </w:tc>
      </w:tr>
      <w:tr w:rsidR="00477C89" w:rsidRPr="00A827F1" w14:paraId="22432740" w14:textId="77777777" w:rsidTr="005F50EE">
        <w:tc>
          <w:tcPr>
            <w:tcW w:w="5104" w:type="dxa"/>
          </w:tcPr>
          <w:p w14:paraId="3F026B09" w14:textId="77777777" w:rsidR="00477C89" w:rsidRPr="00A77E91" w:rsidRDefault="00477C89" w:rsidP="00477C89">
            <w:pPr>
              <w:spacing w:after="0" w:line="240" w:lineRule="auto"/>
              <w:jc w:val="both"/>
              <w:outlineLvl w:val="0"/>
              <w:rPr>
                <w:rFonts w:ascii="Arial" w:eastAsia="Times New Roman" w:hAnsi="Arial" w:cs="Arial"/>
                <w:b/>
                <w:lang w:val="nl-NL"/>
              </w:rPr>
            </w:pPr>
          </w:p>
        </w:tc>
        <w:tc>
          <w:tcPr>
            <w:tcW w:w="5104" w:type="dxa"/>
          </w:tcPr>
          <w:p w14:paraId="5AD115EE" w14:textId="77777777" w:rsidR="00477C89" w:rsidRPr="00410616" w:rsidRDefault="00477C89" w:rsidP="00477C89">
            <w:pPr>
              <w:spacing w:after="0" w:line="240" w:lineRule="auto"/>
              <w:jc w:val="both"/>
              <w:outlineLvl w:val="0"/>
              <w:rPr>
                <w:rFonts w:ascii="Arial" w:eastAsia="Times New Roman" w:hAnsi="Arial" w:cs="Arial"/>
                <w:lang w:val="nl-BE"/>
              </w:rPr>
            </w:pPr>
          </w:p>
        </w:tc>
      </w:tr>
      <w:tr w:rsidR="00477C89" w:rsidRPr="00A827F1" w14:paraId="0B4CF058" w14:textId="77777777" w:rsidTr="005F50EE">
        <w:tc>
          <w:tcPr>
            <w:tcW w:w="5104" w:type="dxa"/>
          </w:tcPr>
          <w:p w14:paraId="5007CAEA" w14:textId="056DE11C" w:rsidR="00477C89" w:rsidRPr="00671DC6" w:rsidRDefault="00477C89" w:rsidP="00477C89">
            <w:pPr>
              <w:spacing w:after="0" w:line="240" w:lineRule="auto"/>
              <w:jc w:val="both"/>
              <w:outlineLvl w:val="0"/>
              <w:rPr>
                <w:rFonts w:ascii="Arial" w:eastAsia="Times New Roman" w:hAnsi="Arial" w:cs="Arial"/>
                <w:bCs/>
                <w:lang w:val="fr-FR"/>
              </w:rPr>
            </w:pPr>
            <w:r w:rsidRPr="00671DC6">
              <w:rPr>
                <w:rFonts w:ascii="Arial" w:eastAsia="Times New Roman" w:hAnsi="Arial" w:cs="Arial"/>
                <w:bCs/>
                <w:lang w:val="fr-FR"/>
              </w:rPr>
              <w:t>Une base légale a déjà été prévue au cours de la législature précédente pour la représentation éventuelle des entités fédérées au sein du Conseil général. Une disposition similaire est donc désormais prévue en ce qui concerne le Comité de l’assurance.</w:t>
            </w:r>
            <w:r w:rsidR="0051721B" w:rsidRPr="00671DC6">
              <w:rPr>
                <w:lang w:val="fr-FR"/>
              </w:rPr>
              <w:t xml:space="preserve"> </w:t>
            </w:r>
            <w:r w:rsidR="0051721B" w:rsidRPr="00671DC6">
              <w:rPr>
                <w:rFonts w:ascii="Arial" w:eastAsia="Times New Roman" w:hAnsi="Arial" w:cs="Arial"/>
                <w:bCs/>
                <w:lang w:val="fr-FR"/>
              </w:rPr>
              <w:t>Huit représentants des entités fédérées sont prévus pour ces deux organes.</w:t>
            </w:r>
          </w:p>
        </w:tc>
        <w:tc>
          <w:tcPr>
            <w:tcW w:w="5104" w:type="dxa"/>
          </w:tcPr>
          <w:p w14:paraId="0D4B3779" w14:textId="2EED5EE6" w:rsidR="00477C89" w:rsidRPr="00410616" w:rsidRDefault="00477C89" w:rsidP="00477C89">
            <w:pPr>
              <w:spacing w:after="0" w:line="240" w:lineRule="auto"/>
              <w:jc w:val="both"/>
              <w:outlineLvl w:val="0"/>
              <w:rPr>
                <w:rFonts w:ascii="Arial" w:eastAsia="Times New Roman" w:hAnsi="Arial" w:cs="Arial"/>
                <w:lang w:val="nl-BE"/>
              </w:rPr>
            </w:pPr>
            <w:r w:rsidRPr="00671DC6">
              <w:rPr>
                <w:rFonts w:ascii="Arial" w:eastAsia="Times New Roman" w:hAnsi="Arial" w:cs="Arial"/>
                <w:lang w:val="nl-BE"/>
              </w:rPr>
              <w:t>Er werd reeds tijdens de vorige legislatuur voorzien in een wettelijke basis voor de mogelijke vertegenwoordiging van deelstaten in de Algemene Raad. Een gelijkaardige bepaling wordt nu dus voorzien voor wat betreft het Verzekeringscomité.</w:t>
            </w:r>
            <w:r w:rsidR="0051721B" w:rsidRPr="00671DC6">
              <w:rPr>
                <w:lang w:val="nl-NL"/>
              </w:rPr>
              <w:t xml:space="preserve"> </w:t>
            </w:r>
            <w:r w:rsidR="0051721B" w:rsidRPr="00671DC6">
              <w:rPr>
                <w:rFonts w:ascii="Arial" w:eastAsia="Times New Roman" w:hAnsi="Arial" w:cs="Arial"/>
                <w:lang w:val="nl-BE"/>
              </w:rPr>
              <w:t>Voor beide organen worden acht vertegenwoordigers van de deelstaten voorzien.</w:t>
            </w:r>
          </w:p>
        </w:tc>
      </w:tr>
      <w:tr w:rsidR="00477C89" w:rsidRPr="00A827F1" w14:paraId="56460268" w14:textId="77777777" w:rsidTr="005F50EE">
        <w:tc>
          <w:tcPr>
            <w:tcW w:w="5104" w:type="dxa"/>
          </w:tcPr>
          <w:p w14:paraId="6571286A" w14:textId="110F1BDD" w:rsidR="00477C89" w:rsidRPr="00410616"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1AD0669" w14:textId="437C427A"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18D933D3" w14:textId="77777777" w:rsidTr="005F50EE">
        <w:tc>
          <w:tcPr>
            <w:tcW w:w="5104" w:type="dxa"/>
          </w:tcPr>
          <w:p w14:paraId="4453B3A7" w14:textId="11EFDD02" w:rsidR="00477C89" w:rsidRPr="00DF79CA" w:rsidRDefault="00477C89" w:rsidP="00477C89">
            <w:pPr>
              <w:tabs>
                <w:tab w:val="left" w:pos="4468"/>
                <w:tab w:val="left" w:pos="5643"/>
                <w:tab w:val="left" w:pos="9747"/>
              </w:tabs>
              <w:spacing w:after="0" w:line="240" w:lineRule="auto"/>
              <w:jc w:val="both"/>
              <w:rPr>
                <w:rFonts w:ascii="Arial" w:hAnsi="Arial" w:cs="Arial"/>
                <w:lang w:val="fr-FR"/>
              </w:rPr>
            </w:pPr>
            <w:r w:rsidRPr="00DF79CA">
              <w:rPr>
                <w:rFonts w:ascii="Arial" w:eastAsia="Times New Roman" w:hAnsi="Arial" w:cs="Arial"/>
                <w:bCs/>
                <w:lang w:val="fr-FR"/>
              </w:rPr>
              <w:lastRenderedPageBreak/>
              <w:t>La représentation des entités fédérées au sein du Comité de l’assurance est, comme c’est le cas pour le Conseil général, soumise à l’adoption d’un arrêté royal conformément au contenu de la disposition de l’article 92ter, alinéa 1</w:t>
            </w:r>
            <w:r w:rsidRPr="00DF79CA">
              <w:rPr>
                <w:rFonts w:ascii="Arial" w:eastAsia="Times New Roman" w:hAnsi="Arial" w:cs="Arial"/>
                <w:bCs/>
                <w:vertAlign w:val="superscript"/>
                <w:lang w:val="fr-FR"/>
              </w:rPr>
              <w:t>er</w:t>
            </w:r>
            <w:r w:rsidRPr="00DF79CA">
              <w:rPr>
                <w:rFonts w:ascii="Arial" w:eastAsia="Times New Roman" w:hAnsi="Arial" w:cs="Arial"/>
                <w:bCs/>
                <w:lang w:val="fr-FR"/>
              </w:rPr>
              <w:t>, de la loi spéciale du 8 août 1980 de réformes institutionnelles.</w:t>
            </w:r>
          </w:p>
        </w:tc>
        <w:tc>
          <w:tcPr>
            <w:tcW w:w="5104" w:type="dxa"/>
          </w:tcPr>
          <w:p w14:paraId="56D7298B" w14:textId="219EE641"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410616">
              <w:rPr>
                <w:rFonts w:ascii="Arial" w:eastAsia="Times New Roman" w:hAnsi="Arial" w:cs="Arial"/>
                <w:lang w:val="nl-BE"/>
              </w:rPr>
              <w:t>De vertegenwoordiging van de deelstaten in het Verzekeringscomité is, net zoals dit het geval is voor de Algemene Raad, onderworpen aan het aannemen van een koninklijk besluit overeenkomstig de inhoud van de bepaling uit artikel 92ter, eerste lid, van de bijzondere wet van 8 augustus 1980 tot hervorming der instellingen.</w:t>
            </w:r>
          </w:p>
        </w:tc>
      </w:tr>
      <w:tr w:rsidR="00477C89" w:rsidRPr="00A827F1" w14:paraId="25C9FE4D" w14:textId="77777777" w:rsidTr="005F50EE">
        <w:tc>
          <w:tcPr>
            <w:tcW w:w="5104" w:type="dxa"/>
          </w:tcPr>
          <w:p w14:paraId="17B8D89B"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FA5F380" w14:textId="5A1FF9A3"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575C818E" w14:textId="77777777" w:rsidTr="005F50EE">
        <w:tc>
          <w:tcPr>
            <w:tcW w:w="5104" w:type="dxa"/>
          </w:tcPr>
          <w:p w14:paraId="6D370954" w14:textId="3B8A48BC" w:rsidR="00477C89" w:rsidRPr="00FE42AD" w:rsidRDefault="00477C89" w:rsidP="00477C89">
            <w:pPr>
              <w:tabs>
                <w:tab w:val="left" w:pos="4468"/>
                <w:tab w:val="left" w:pos="5643"/>
                <w:tab w:val="left" w:pos="9747"/>
              </w:tabs>
              <w:spacing w:after="0" w:line="240" w:lineRule="auto"/>
              <w:jc w:val="center"/>
              <w:rPr>
                <w:rFonts w:ascii="Arial" w:hAnsi="Arial" w:cs="Arial"/>
                <w:b/>
                <w:bCs/>
                <w:i/>
                <w:iCs/>
                <w:lang w:val="fr-FR"/>
              </w:rPr>
            </w:pPr>
            <w:bookmarkStart w:id="7" w:name="_Hlk199318106"/>
            <w:bookmarkStart w:id="8" w:name="_Hlk198022980"/>
            <w:r w:rsidRPr="00FE42AD">
              <w:rPr>
                <w:rFonts w:ascii="Arial" w:hAnsi="Arial" w:cs="Arial"/>
                <w:b/>
                <w:bCs/>
                <w:i/>
                <w:iCs/>
                <w:lang w:val="fr-FR"/>
              </w:rPr>
              <w:t>Section X</w:t>
            </w:r>
            <w:r>
              <w:rPr>
                <w:rFonts w:ascii="Arial" w:hAnsi="Arial" w:cs="Arial"/>
                <w:b/>
                <w:bCs/>
                <w:i/>
                <w:iCs/>
                <w:lang w:val="fr-FR"/>
              </w:rPr>
              <w:t>+5</w:t>
            </w:r>
            <w:r w:rsidRPr="00FE42AD">
              <w:rPr>
                <w:rFonts w:ascii="Arial" w:hAnsi="Arial" w:cs="Arial"/>
                <w:b/>
                <w:bCs/>
                <w:i/>
                <w:iCs/>
                <w:lang w:val="fr-FR"/>
              </w:rPr>
              <w:t xml:space="preserve"> – Simplification administrative de la procédure de modification de la nomenclature</w:t>
            </w:r>
          </w:p>
        </w:tc>
        <w:tc>
          <w:tcPr>
            <w:tcW w:w="5104" w:type="dxa"/>
          </w:tcPr>
          <w:p w14:paraId="736DD39F" w14:textId="1CAF1C60" w:rsidR="00477C89" w:rsidRPr="00A77E91" w:rsidRDefault="00477C89" w:rsidP="00477C89">
            <w:pPr>
              <w:tabs>
                <w:tab w:val="left" w:pos="4468"/>
                <w:tab w:val="left" w:pos="5643"/>
                <w:tab w:val="left" w:pos="9747"/>
              </w:tabs>
              <w:spacing w:after="0" w:line="240" w:lineRule="auto"/>
              <w:jc w:val="center"/>
              <w:rPr>
                <w:rFonts w:ascii="Arial" w:hAnsi="Arial" w:cs="Arial"/>
                <w:b/>
                <w:bCs/>
                <w:i/>
                <w:iCs/>
                <w:lang w:val="nl-NL"/>
              </w:rPr>
            </w:pPr>
            <w:commentRangeStart w:id="9"/>
            <w:r w:rsidRPr="00A77E91">
              <w:rPr>
                <w:rFonts w:ascii="Arial" w:hAnsi="Arial" w:cs="Arial"/>
                <w:b/>
                <w:bCs/>
                <w:i/>
                <w:iCs/>
                <w:lang w:val="nl-NL"/>
              </w:rPr>
              <w:t>Afdeling X</w:t>
            </w:r>
            <w:r>
              <w:rPr>
                <w:rFonts w:ascii="Arial" w:hAnsi="Arial" w:cs="Arial"/>
                <w:b/>
                <w:bCs/>
                <w:i/>
                <w:iCs/>
                <w:lang w:val="nl-NL"/>
              </w:rPr>
              <w:t>+5</w:t>
            </w:r>
            <w:r w:rsidRPr="00A77E91">
              <w:rPr>
                <w:rFonts w:ascii="Arial" w:hAnsi="Arial" w:cs="Arial"/>
                <w:b/>
                <w:bCs/>
                <w:i/>
                <w:iCs/>
                <w:lang w:val="nl-NL"/>
              </w:rPr>
              <w:t xml:space="preserve"> - Administratieve vereenvoudiging van de procedure tot wijziging van de nomenclatuur</w:t>
            </w:r>
            <w:commentRangeEnd w:id="9"/>
            <w:r>
              <w:rPr>
                <w:rStyle w:val="Verwijzingopmerking"/>
              </w:rPr>
              <w:commentReference w:id="9"/>
            </w:r>
          </w:p>
        </w:tc>
      </w:tr>
      <w:tr w:rsidR="00477C89" w:rsidRPr="00A827F1" w14:paraId="3F42317F" w14:textId="77777777" w:rsidTr="005F50EE">
        <w:tc>
          <w:tcPr>
            <w:tcW w:w="5104" w:type="dxa"/>
          </w:tcPr>
          <w:p w14:paraId="7EADB4DA"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8FFFAB7"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75C8F3A" w14:textId="77777777" w:rsidTr="005F50EE">
        <w:tc>
          <w:tcPr>
            <w:tcW w:w="5104" w:type="dxa"/>
          </w:tcPr>
          <w:p w14:paraId="6EA73F6D" w14:textId="4416C0DA"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Les dispositions de cette section visent à simplifier la procédure de modification de la nomenclature des prestations de santé, visée à l'article 35, §1, de la loi SSI. Ces modifications devraient permettre une approche plus adaptée en fonction de l'urgence et de l'importance de la modification proposée, afin de mieux répondre aux constatations sur le terrain.</w:t>
            </w:r>
          </w:p>
        </w:tc>
        <w:tc>
          <w:tcPr>
            <w:tcW w:w="5104" w:type="dxa"/>
          </w:tcPr>
          <w:p w14:paraId="21391EBA" w14:textId="303C9700"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t xml:space="preserve">De bepalingen van deze afdeling beogen de procedure voor het wijzigen van de nomenclatuur van de geneeskundige verstrekkingen, bedoeld in artikel 35, §1, van de GVU-wet, te vereenvoudigen. Deze wijzigingen zouden moeten toelaten om in functie van de dringendheid en het belang van de vooropgestelde wijziging een meer op maat aanpak mogelijk te maken, zodat beter ingespeeld kan worden op de vaststellingen op het terrein.  </w:t>
            </w:r>
          </w:p>
        </w:tc>
      </w:tr>
      <w:tr w:rsidR="00477C89" w:rsidRPr="00A827F1" w14:paraId="7CC6917E" w14:textId="77777777" w:rsidTr="005F50EE">
        <w:tc>
          <w:tcPr>
            <w:tcW w:w="5104" w:type="dxa"/>
          </w:tcPr>
          <w:p w14:paraId="7FBEEBCA"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A68AD20"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4E73CF6A" w14:textId="77777777" w:rsidTr="005F50EE">
        <w:tc>
          <w:tcPr>
            <w:tcW w:w="5104" w:type="dxa"/>
          </w:tcPr>
          <w:p w14:paraId="7FBEE195" w14:textId="3A314848"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+40</w:t>
            </w:r>
          </w:p>
        </w:tc>
        <w:tc>
          <w:tcPr>
            <w:tcW w:w="5104" w:type="dxa"/>
          </w:tcPr>
          <w:p w14:paraId="58E11873" w14:textId="4F8BAA55"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+40</w:t>
            </w:r>
          </w:p>
        </w:tc>
      </w:tr>
      <w:tr w:rsidR="00477C89" w:rsidRPr="00A77E91" w14:paraId="3DFD456F" w14:textId="77777777" w:rsidTr="005F50EE">
        <w:tc>
          <w:tcPr>
            <w:tcW w:w="5104" w:type="dxa"/>
          </w:tcPr>
          <w:p w14:paraId="4DD9EA3A"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BFB97D9"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94D80" w14:paraId="3BB093B5" w14:textId="77777777" w:rsidTr="005F50EE">
        <w:tc>
          <w:tcPr>
            <w:tcW w:w="5104" w:type="dxa"/>
          </w:tcPr>
          <w:p w14:paraId="018A9215" w14:textId="6806E632"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La modification au 1° clarifie le délai dans lequel le conseil technique compétent doit formuler une proposition. Il s'agit d'un délai d'</w:t>
            </w:r>
            <w:r w:rsidR="00973A68">
              <w:rPr>
                <w:rFonts w:ascii="Arial" w:hAnsi="Arial" w:cs="Arial"/>
                <w:lang w:val="fr-FR"/>
              </w:rPr>
              <w:t>au moins d’</w:t>
            </w:r>
            <w:r w:rsidRPr="00A77E91">
              <w:rPr>
                <w:rFonts w:ascii="Arial" w:hAnsi="Arial" w:cs="Arial"/>
                <w:lang w:val="fr-FR"/>
              </w:rPr>
              <w:t>un mois</w:t>
            </w:r>
            <w:r w:rsidRPr="006633F0">
              <w:rPr>
                <w:rFonts w:ascii="Arial" w:hAnsi="Arial" w:cs="Arial"/>
                <w:lang w:val="fr-FR"/>
              </w:rPr>
              <w:t>.</w:t>
            </w:r>
          </w:p>
        </w:tc>
        <w:tc>
          <w:tcPr>
            <w:tcW w:w="5104" w:type="dxa"/>
          </w:tcPr>
          <w:p w14:paraId="3C12E38E" w14:textId="6BB9F9A2"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t xml:space="preserve">De wijziging onder 1° verduidelijkt de termijn waarbinnen de bevoegde technische raad een voorstel dient te formuleren. Dit is een termijn van </w:t>
            </w:r>
            <w:r w:rsidR="00973A68">
              <w:rPr>
                <w:rFonts w:ascii="Arial" w:hAnsi="Arial" w:cs="Arial"/>
                <w:lang w:val="nl-NL"/>
              </w:rPr>
              <w:t xml:space="preserve">minimum </w:t>
            </w:r>
            <w:r w:rsidRPr="00A77E91">
              <w:rPr>
                <w:rFonts w:ascii="Arial" w:hAnsi="Arial" w:cs="Arial"/>
                <w:lang w:val="nl-NL"/>
              </w:rPr>
              <w:t>één maand</w:t>
            </w:r>
            <w:r w:rsidRPr="006633F0">
              <w:rPr>
                <w:rFonts w:ascii="Arial" w:hAnsi="Arial" w:cs="Arial"/>
                <w:lang w:val="nl-NL"/>
              </w:rPr>
              <w:t>.</w:t>
            </w:r>
          </w:p>
        </w:tc>
      </w:tr>
      <w:tr w:rsidR="00477C89" w:rsidRPr="00E94D80" w14:paraId="72ECCB22" w14:textId="77777777" w:rsidTr="005F50EE">
        <w:tc>
          <w:tcPr>
            <w:tcW w:w="5104" w:type="dxa"/>
          </w:tcPr>
          <w:p w14:paraId="5DD3959E" w14:textId="77777777" w:rsidR="00477C89" w:rsidRPr="006633F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91FC59D" w14:textId="77777777" w:rsidR="00477C89" w:rsidRPr="006633F0"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17A7A625" w14:textId="77777777" w:rsidTr="005F50EE">
        <w:tc>
          <w:tcPr>
            <w:tcW w:w="5104" w:type="dxa"/>
          </w:tcPr>
          <w:p w14:paraId="13F925F7" w14:textId="7A09ACF1"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En cas de proposition tardive ou non conforme du conseil technique compétent en vertu de l'article 35, §</w:t>
            </w:r>
            <w:r>
              <w:rPr>
                <w:rFonts w:ascii="Arial" w:hAnsi="Arial" w:cs="Arial"/>
                <w:lang w:val="fr-FR"/>
              </w:rPr>
              <w:t xml:space="preserve"> </w:t>
            </w:r>
            <w:r w:rsidRPr="00A77E91">
              <w:rPr>
                <w:rFonts w:ascii="Arial" w:hAnsi="Arial" w:cs="Arial"/>
                <w:lang w:val="fr-FR"/>
              </w:rPr>
              <w:t>2, alinéa 1</w:t>
            </w:r>
            <w:r w:rsidRPr="00A77E91">
              <w:rPr>
                <w:rFonts w:ascii="Arial" w:hAnsi="Arial" w:cs="Arial"/>
                <w:vertAlign w:val="superscript"/>
                <w:lang w:val="fr-FR"/>
              </w:rPr>
              <w:t>er</w:t>
            </w:r>
            <w:r w:rsidRPr="00A77E91">
              <w:rPr>
                <w:rFonts w:ascii="Arial" w:hAnsi="Arial" w:cs="Arial"/>
                <w:lang w:val="fr-FR"/>
              </w:rPr>
              <w:t xml:space="preserve">, 2°, de la loi SSI, le ministre des Affaires sociales ou la Commission </w:t>
            </w:r>
            <w:r>
              <w:rPr>
                <w:rFonts w:ascii="Arial" w:hAnsi="Arial" w:cs="Arial"/>
                <w:lang w:val="fr-FR"/>
              </w:rPr>
              <w:t>d’</w:t>
            </w:r>
            <w:r w:rsidRPr="00A77E91">
              <w:rPr>
                <w:rFonts w:ascii="Arial" w:hAnsi="Arial" w:cs="Arial"/>
                <w:lang w:val="fr-FR"/>
              </w:rPr>
              <w:t>accords compétente conserve la possibilité de formuler une proposition conformément à l'article 35, §</w:t>
            </w:r>
            <w:r>
              <w:rPr>
                <w:rFonts w:ascii="Arial" w:hAnsi="Arial" w:cs="Arial"/>
                <w:lang w:val="fr-FR"/>
              </w:rPr>
              <w:t xml:space="preserve"> </w:t>
            </w:r>
            <w:r w:rsidRPr="00A77E91">
              <w:rPr>
                <w:rFonts w:ascii="Arial" w:hAnsi="Arial" w:cs="Arial"/>
                <w:lang w:val="fr-FR"/>
              </w:rPr>
              <w:t>2, alinéa 1</w:t>
            </w:r>
            <w:r w:rsidRPr="00A77E91">
              <w:rPr>
                <w:rFonts w:ascii="Arial" w:hAnsi="Arial" w:cs="Arial"/>
                <w:vertAlign w:val="superscript"/>
                <w:lang w:val="fr-FR"/>
              </w:rPr>
              <w:t>er</w:t>
            </w:r>
            <w:r w:rsidRPr="00A77E91">
              <w:rPr>
                <w:rFonts w:ascii="Arial" w:hAnsi="Arial" w:cs="Arial"/>
                <w:lang w:val="fr-FR"/>
              </w:rPr>
              <w:t>, 3°, de la loi SSI. Dans ce cas, le dossier administratif doit toutefois contenir la justification du rejet de la proposition du conseil technique compétent conformément aux principes généraux de bonne administration.</w:t>
            </w:r>
          </w:p>
        </w:tc>
        <w:tc>
          <w:tcPr>
            <w:tcW w:w="5104" w:type="dxa"/>
          </w:tcPr>
          <w:p w14:paraId="58322AFA" w14:textId="603C90D6"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t>Ingeval van een niet-tijdig voorstel of een niet-conform voorstel van de bevoegde technische raad in het kader van artikel 35, §</w:t>
            </w:r>
            <w:r>
              <w:rPr>
                <w:rFonts w:ascii="Arial" w:hAnsi="Arial" w:cs="Arial"/>
                <w:lang w:val="nl-NL"/>
              </w:rPr>
              <w:t> </w:t>
            </w:r>
            <w:r w:rsidRPr="00A77E91">
              <w:rPr>
                <w:rFonts w:ascii="Arial" w:hAnsi="Arial" w:cs="Arial"/>
                <w:lang w:val="nl-NL"/>
              </w:rPr>
              <w:t>2, lid 1, 2°, van de GVU-wet behoudt de minister van Sociale zaken of de bevoegde akkoordencommissie de mogelijkheid om een voorstel te formuleren overeenkomstig artikel 35, §</w:t>
            </w:r>
            <w:r>
              <w:rPr>
                <w:rFonts w:ascii="Arial" w:hAnsi="Arial" w:cs="Arial"/>
                <w:lang w:val="nl-NL"/>
              </w:rPr>
              <w:t> </w:t>
            </w:r>
            <w:r w:rsidRPr="00A77E91">
              <w:rPr>
                <w:rFonts w:ascii="Arial" w:hAnsi="Arial" w:cs="Arial"/>
                <w:lang w:val="nl-NL"/>
              </w:rPr>
              <w:t>2, lid 1, 3°, van de GVU-wet. Het administratief dossier dient in dat geval wel de motivering van de afwijzing van het voorstel van de bevoegde technische raad te bevatten overeenkomstig de algemene beginselen van behoorlijk bestuur.</w:t>
            </w:r>
          </w:p>
        </w:tc>
      </w:tr>
      <w:tr w:rsidR="00477C89" w:rsidRPr="00A827F1" w14:paraId="77ECB582" w14:textId="77777777" w:rsidTr="005F50EE">
        <w:tc>
          <w:tcPr>
            <w:tcW w:w="5104" w:type="dxa"/>
          </w:tcPr>
          <w:p w14:paraId="0EE0D5B5"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2732F5C"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586F00E1" w14:textId="77777777" w:rsidTr="005F50EE">
        <w:tc>
          <w:tcPr>
            <w:tcW w:w="5104" w:type="dxa"/>
          </w:tcPr>
          <w:p w14:paraId="42503363" w14:textId="2F865F5B"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 xml:space="preserve">La modification visée au point 2° vise à donner la possibilité à la Commission </w:t>
            </w:r>
            <w:r>
              <w:rPr>
                <w:rFonts w:ascii="Arial" w:hAnsi="Arial" w:cs="Arial"/>
                <w:lang w:val="fr-FR"/>
              </w:rPr>
              <w:t>d’</w:t>
            </w:r>
            <w:r w:rsidRPr="00A77E91">
              <w:rPr>
                <w:rFonts w:ascii="Arial" w:hAnsi="Arial" w:cs="Arial"/>
                <w:lang w:val="fr-FR"/>
              </w:rPr>
              <w:t>accords compétente, au ministre des Affaires sociales ou au Comité de l’assurance de formuler directement une proposition, sans devoir - comme c'est le cas aujourd'hui - suivre la procédure conformément à l'article 35, §</w:t>
            </w:r>
            <w:r>
              <w:rPr>
                <w:rFonts w:ascii="Arial" w:hAnsi="Arial" w:cs="Arial"/>
                <w:lang w:val="fr-FR"/>
              </w:rPr>
              <w:t xml:space="preserve"> </w:t>
            </w:r>
            <w:r w:rsidRPr="00A77E91">
              <w:rPr>
                <w:rFonts w:ascii="Arial" w:hAnsi="Arial" w:cs="Arial"/>
                <w:lang w:val="fr-FR"/>
              </w:rPr>
              <w:t xml:space="preserve">2, alinéa 1, 2°, de la loi SSI. En d'autres termes, il n'est plus nécessaire de formuler une demande de proposition au conseil technique </w:t>
            </w:r>
            <w:r w:rsidRPr="00A77E91">
              <w:rPr>
                <w:rFonts w:ascii="Arial" w:hAnsi="Arial" w:cs="Arial"/>
                <w:lang w:val="fr-FR"/>
              </w:rPr>
              <w:lastRenderedPageBreak/>
              <w:t xml:space="preserve">compétent avant une proposition du ministre des Affaires sociales ou de la Commission </w:t>
            </w:r>
            <w:r>
              <w:rPr>
                <w:rFonts w:ascii="Arial" w:hAnsi="Arial" w:cs="Arial"/>
                <w:lang w:val="fr-FR"/>
              </w:rPr>
              <w:t>d’</w:t>
            </w:r>
            <w:r w:rsidRPr="00A77E91">
              <w:rPr>
                <w:rFonts w:ascii="Arial" w:hAnsi="Arial" w:cs="Arial"/>
                <w:lang w:val="fr-FR"/>
              </w:rPr>
              <w:t>accords compétente.</w:t>
            </w:r>
          </w:p>
          <w:p w14:paraId="19D02888"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p>
          <w:p w14:paraId="4EFC3B4E" w14:textId="3DA2901D"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3D7BFB93" w14:textId="454A89B6"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lastRenderedPageBreak/>
              <w:t xml:space="preserve">De wijziging bedoeld onder 2° beoogt de mogelijkheid te geven aan de bevoegde akkoordencommissie, de minister van Sociale zaken of het Verzekeringscomité om rechtstreeks een voorstel te formuleren, zonder dat – zoals dit vandaag het geval is – de procedure overeenkomstig artikel 35, §2, lid 1, 2°, van de GVU-wet gevolgd dient te worden. Er moet met andere woorden niet meer voorafgaand aan een </w:t>
            </w:r>
            <w:r w:rsidRPr="00A77E91">
              <w:rPr>
                <w:rFonts w:ascii="Arial" w:hAnsi="Arial" w:cs="Arial"/>
                <w:lang w:val="nl-NL"/>
              </w:rPr>
              <w:lastRenderedPageBreak/>
              <w:t xml:space="preserve">voorstel van de minister van Sociale zaken of de bevoegde akkoordencommissie een verzoek tot opmaak van een voorstel aan de bevoegde technische raad geformuleerd worden. </w:t>
            </w:r>
          </w:p>
        </w:tc>
      </w:tr>
      <w:tr w:rsidR="00477C89" w:rsidRPr="00A827F1" w14:paraId="5B79C6C9" w14:textId="77777777" w:rsidTr="005F50EE">
        <w:tc>
          <w:tcPr>
            <w:tcW w:w="5104" w:type="dxa"/>
          </w:tcPr>
          <w:p w14:paraId="49794ECC"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DD0B9EE"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17A6023" w14:textId="77777777" w:rsidTr="005F50EE">
        <w:tc>
          <w:tcPr>
            <w:tcW w:w="5104" w:type="dxa"/>
          </w:tcPr>
          <w:p w14:paraId="7370E1C8" w14:textId="7936862B" w:rsidR="00477C89" w:rsidRPr="00414F83" w:rsidRDefault="00477C89" w:rsidP="00477C89">
            <w:pPr>
              <w:tabs>
                <w:tab w:val="left" w:pos="4468"/>
                <w:tab w:val="left" w:pos="5643"/>
                <w:tab w:val="left" w:pos="9747"/>
              </w:tabs>
              <w:spacing w:after="0" w:line="240" w:lineRule="auto"/>
              <w:jc w:val="both"/>
              <w:rPr>
                <w:rFonts w:ascii="Arial" w:hAnsi="Arial" w:cs="Arial"/>
                <w:lang w:val="fr-FR"/>
              </w:rPr>
            </w:pPr>
            <w:r w:rsidRPr="00414F83">
              <w:rPr>
                <w:rFonts w:ascii="Arial" w:hAnsi="Arial" w:cs="Arial"/>
                <w:lang w:val="fr-FR"/>
              </w:rPr>
              <w:t>Cela permet de pouvoir avancer plus rapidement sur certains projets, comme la possibilité de limiter quantitativement dans la nomenclature les prestations qui peuvent être facturées dans une période de référence déterminée. Ces limites pourraient permettre une utilisation plus efficace du budget de l’assurance maladie obligatoire.</w:t>
            </w:r>
          </w:p>
        </w:tc>
        <w:tc>
          <w:tcPr>
            <w:tcW w:w="5104" w:type="dxa"/>
          </w:tcPr>
          <w:p w14:paraId="4C92A96C" w14:textId="5E81FFFB" w:rsidR="00477C89" w:rsidRPr="00414F83" w:rsidRDefault="00477C89" w:rsidP="00477C89">
            <w:pPr>
              <w:tabs>
                <w:tab w:val="left" w:pos="4468"/>
                <w:tab w:val="left" w:pos="5643"/>
                <w:tab w:val="left" w:pos="9747"/>
              </w:tabs>
              <w:spacing w:after="0" w:line="240" w:lineRule="auto"/>
              <w:jc w:val="both"/>
              <w:rPr>
                <w:rFonts w:ascii="Arial" w:hAnsi="Arial" w:cs="Arial"/>
                <w:lang w:val="nl-NL"/>
              </w:rPr>
            </w:pPr>
            <w:r w:rsidRPr="00414F83">
              <w:rPr>
                <w:rFonts w:ascii="Arial" w:hAnsi="Arial" w:cs="Arial"/>
                <w:lang w:val="nl-NL"/>
              </w:rPr>
              <w:t xml:space="preserve">Dat laat toe om voor bepaalde onderwerpen sneller vooruit te kunnen gaan, zoals de mogelijkheid om in de nomenclatuur op kwantitatieve wijze de verstrekkingen die in een bepaalde referentieperiode aangerekend mogen worden te kunnen beperken. Die beperkingen kunnen toelaten om doelmatiger om te gaan met het budget van de verplichte ziekteverzekering.  </w:t>
            </w:r>
          </w:p>
        </w:tc>
      </w:tr>
      <w:tr w:rsidR="00477C89" w:rsidRPr="00A827F1" w14:paraId="7C06C33E" w14:textId="77777777" w:rsidTr="005F50EE">
        <w:tc>
          <w:tcPr>
            <w:tcW w:w="5104" w:type="dxa"/>
          </w:tcPr>
          <w:p w14:paraId="3581A6B5"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9E547F8"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547BDE61" w14:textId="77777777" w:rsidTr="005F50EE">
        <w:tc>
          <w:tcPr>
            <w:tcW w:w="5104" w:type="dxa"/>
          </w:tcPr>
          <w:p w14:paraId="5ED933D1" w14:textId="58AAA427"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 xml:space="preserve">La proposition du Ministre des Affaires sociales, de la Commission </w:t>
            </w:r>
            <w:r>
              <w:rPr>
                <w:rFonts w:ascii="Arial" w:hAnsi="Arial" w:cs="Arial"/>
                <w:lang w:val="fr-FR"/>
              </w:rPr>
              <w:t>d’</w:t>
            </w:r>
            <w:r w:rsidRPr="00A77E91">
              <w:rPr>
                <w:rFonts w:ascii="Arial" w:hAnsi="Arial" w:cs="Arial"/>
                <w:lang w:val="fr-FR"/>
              </w:rPr>
              <w:t>accords compétente ou du Comité de l’assurance est soumise à l'avis du Conseil technique compétent. Le Conseil technique dispose d'un délai d'un mois pour formuler son avis. La proposition suit ensuite la procédure existante via la Commission de contrôle budgétaire et le Comité de l’assurance.</w:t>
            </w:r>
          </w:p>
          <w:p w14:paraId="2A7D0CAC"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A5BF2BC" w14:textId="25684004"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t xml:space="preserve">Het voorstel van de minister van Sociale zaken, de bevoegde akkoordencommissie of het Verzekeringscomité wordt voor advies voorgelegd aan de bevoegde technische raad. De technische raad beschikt over een termijn van één maand om zijn advies te formuleren. Vervolgens doorloopt het voorstel de bestaande procedure via de Commissie voor begrotingscontrole en het Verzekeringscomité. </w:t>
            </w:r>
          </w:p>
        </w:tc>
      </w:tr>
      <w:tr w:rsidR="00477C89" w:rsidRPr="00A827F1" w14:paraId="08318547" w14:textId="77777777" w:rsidTr="005F50EE">
        <w:tc>
          <w:tcPr>
            <w:tcW w:w="5104" w:type="dxa"/>
          </w:tcPr>
          <w:p w14:paraId="627633F8"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BB48A7B"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83AD8C1" w14:textId="77777777" w:rsidTr="005F50EE">
        <w:tc>
          <w:tcPr>
            <w:tcW w:w="5104" w:type="dxa"/>
          </w:tcPr>
          <w:p w14:paraId="6ED29A2E" w14:textId="384CE9B4" w:rsidR="00477C89" w:rsidRPr="00FE42AD"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La modification visée au point 3° consiste en une correction technique. En effet, l'article 51, §</w:t>
            </w:r>
            <w:r>
              <w:rPr>
                <w:rFonts w:ascii="Arial" w:hAnsi="Arial" w:cs="Arial"/>
                <w:lang w:val="fr-FR"/>
              </w:rPr>
              <w:t xml:space="preserve"> </w:t>
            </w:r>
            <w:r w:rsidRPr="00A77E91">
              <w:rPr>
                <w:rFonts w:ascii="Arial" w:hAnsi="Arial" w:cs="Arial"/>
                <w:lang w:val="fr-FR"/>
              </w:rPr>
              <w:t>3</w:t>
            </w:r>
            <w:r>
              <w:rPr>
                <w:rFonts w:ascii="Arial" w:hAnsi="Arial" w:cs="Arial"/>
                <w:lang w:val="fr-FR"/>
              </w:rPr>
              <w:t>,</w:t>
            </w:r>
            <w:r w:rsidRPr="00A77E91">
              <w:rPr>
                <w:rFonts w:ascii="Arial" w:hAnsi="Arial" w:cs="Arial"/>
                <w:lang w:val="fr-FR"/>
              </w:rPr>
              <w:t xml:space="preserve"> de la loi SSI auquel il est fait référence a déjà été supprimé.</w:t>
            </w:r>
          </w:p>
        </w:tc>
        <w:tc>
          <w:tcPr>
            <w:tcW w:w="5104" w:type="dxa"/>
          </w:tcPr>
          <w:p w14:paraId="2071C90E" w14:textId="79AE663E"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t>De wijziging bedoeld onder 3° houdt een technische correctie in. Het artikel 51, §</w:t>
            </w:r>
            <w:r>
              <w:rPr>
                <w:rFonts w:ascii="Arial" w:hAnsi="Arial" w:cs="Arial"/>
                <w:lang w:val="nl-NL"/>
              </w:rPr>
              <w:t xml:space="preserve"> </w:t>
            </w:r>
            <w:r w:rsidRPr="00A77E91">
              <w:rPr>
                <w:rFonts w:ascii="Arial" w:hAnsi="Arial" w:cs="Arial"/>
                <w:lang w:val="nl-NL"/>
              </w:rPr>
              <w:t>3, van de GVU-wet, waarnaar verwezen wordt, is immers reeds opgeheven.</w:t>
            </w:r>
          </w:p>
        </w:tc>
      </w:tr>
      <w:tr w:rsidR="00477C89" w:rsidRPr="00A827F1" w14:paraId="6959E6E0" w14:textId="77777777" w:rsidTr="005F50EE">
        <w:tc>
          <w:tcPr>
            <w:tcW w:w="5104" w:type="dxa"/>
          </w:tcPr>
          <w:p w14:paraId="149A4692"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D921C70"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32601622" w14:textId="77777777" w:rsidTr="005F50EE">
        <w:tc>
          <w:tcPr>
            <w:tcW w:w="5104" w:type="dxa"/>
          </w:tcPr>
          <w:p w14:paraId="50E4330E" w14:textId="49C84814"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+41</w:t>
            </w:r>
          </w:p>
        </w:tc>
        <w:tc>
          <w:tcPr>
            <w:tcW w:w="5104" w:type="dxa"/>
          </w:tcPr>
          <w:p w14:paraId="5D8780AB" w14:textId="1E81511B"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+41</w:t>
            </w:r>
          </w:p>
        </w:tc>
      </w:tr>
      <w:tr w:rsidR="00477C89" w:rsidRPr="00A77E91" w14:paraId="4B6E8E23" w14:textId="77777777" w:rsidTr="005F50EE">
        <w:tc>
          <w:tcPr>
            <w:tcW w:w="5104" w:type="dxa"/>
          </w:tcPr>
          <w:p w14:paraId="38FB18AF"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3EECE57"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1F36C63" w14:textId="77777777" w:rsidTr="005F50EE">
        <w:tc>
          <w:tcPr>
            <w:tcW w:w="5104" w:type="dxa"/>
          </w:tcPr>
          <w:p w14:paraId="5A00CEAB" w14:textId="3D90C226" w:rsidR="00477C89" w:rsidRPr="00A77E91" w:rsidRDefault="00477C89" w:rsidP="00477C89">
            <w:pPr>
              <w:tabs>
                <w:tab w:val="left" w:pos="4468"/>
                <w:tab w:val="left" w:pos="5643"/>
                <w:tab w:val="left" w:pos="9747"/>
              </w:tabs>
              <w:spacing w:after="0" w:line="240" w:lineRule="auto"/>
              <w:jc w:val="both"/>
              <w:rPr>
                <w:rFonts w:ascii="Arial" w:hAnsi="Arial" w:cs="Arial"/>
                <w:lang w:val="fr-FR"/>
              </w:rPr>
            </w:pPr>
            <w:r w:rsidRPr="00A77E91">
              <w:rPr>
                <w:rFonts w:ascii="Arial" w:hAnsi="Arial" w:cs="Arial"/>
                <w:lang w:val="fr-FR"/>
              </w:rPr>
              <w:t xml:space="preserve">L’objectif de cette disposition est de garantir que les modifications apportées par le Comité de l’assurance à une proposition ou à un avis de la Commission </w:t>
            </w:r>
            <w:r>
              <w:rPr>
                <w:rFonts w:ascii="Arial" w:hAnsi="Arial" w:cs="Arial"/>
                <w:lang w:val="fr-FR"/>
              </w:rPr>
              <w:t>d’</w:t>
            </w:r>
            <w:r w:rsidRPr="00A77E91">
              <w:rPr>
                <w:rFonts w:ascii="Arial" w:hAnsi="Arial" w:cs="Arial"/>
                <w:lang w:val="fr-FR"/>
              </w:rPr>
              <w:t xml:space="preserve">accords ne doivent plus être à nouveau soumises pour examen à la Commission </w:t>
            </w:r>
            <w:r>
              <w:rPr>
                <w:rFonts w:ascii="Arial" w:hAnsi="Arial" w:cs="Arial"/>
                <w:lang w:val="fr-FR"/>
              </w:rPr>
              <w:t>d’</w:t>
            </w:r>
            <w:r w:rsidRPr="00A77E91">
              <w:rPr>
                <w:rFonts w:ascii="Arial" w:hAnsi="Arial" w:cs="Arial"/>
                <w:lang w:val="fr-FR"/>
              </w:rPr>
              <w:t>accords concernée.</w:t>
            </w:r>
            <w:r w:rsidRPr="003124CD">
              <w:rPr>
                <w:lang w:val="fr-FR"/>
              </w:rPr>
              <w:t xml:space="preserve"> </w:t>
            </w:r>
            <w:r w:rsidRPr="003124CD">
              <w:rPr>
                <w:rFonts w:ascii="Arial" w:hAnsi="Arial" w:cs="Arial"/>
                <w:lang w:val="fr-FR"/>
              </w:rPr>
              <w:t>Cette disposition n'empêche pas que l'avis de la Commission d’accords puisse encore être sollicité en cas de modifications substantielles.</w:t>
            </w:r>
          </w:p>
        </w:tc>
        <w:tc>
          <w:tcPr>
            <w:tcW w:w="5104" w:type="dxa"/>
          </w:tcPr>
          <w:p w14:paraId="6C0549F7" w14:textId="72239781"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A77E91">
              <w:rPr>
                <w:rFonts w:ascii="Arial" w:hAnsi="Arial" w:cs="Arial"/>
                <w:lang w:val="nl-NL"/>
              </w:rPr>
              <w:t>Met de bepaling wordt beoogd dat wijzigingen die het Verzekeringscomité aanbrengt aan een voorstel of een advies van de akkoordencommissie, niet meer opnieuw voor een onderzoek aan de desbetreffende akkoordencommissie voorgelegd dienen te worden.</w:t>
            </w:r>
            <w:r w:rsidRPr="003124CD">
              <w:rPr>
                <w:lang w:val="nl-NL"/>
              </w:rPr>
              <w:t xml:space="preserve"> </w:t>
            </w:r>
            <w:r w:rsidRPr="003124CD">
              <w:rPr>
                <w:rFonts w:ascii="Arial" w:hAnsi="Arial" w:cs="Arial"/>
                <w:lang w:val="nl-NL"/>
              </w:rPr>
              <w:t>Deze bepaling staat niet in de weg dat bij substantiële wijzigingen het advies van de akkoordencommissie toch nog gevraagd kan worden.</w:t>
            </w:r>
          </w:p>
        </w:tc>
      </w:tr>
      <w:bookmarkEnd w:id="7"/>
      <w:tr w:rsidR="00477C89" w:rsidRPr="00A827F1" w14:paraId="391D2972" w14:textId="77777777" w:rsidTr="005F50EE">
        <w:tc>
          <w:tcPr>
            <w:tcW w:w="5104" w:type="dxa"/>
          </w:tcPr>
          <w:p w14:paraId="3B44216C" w14:textId="77777777" w:rsidR="00477C89" w:rsidRPr="00DF79CA"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FC30ED7"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FE42AD" w14:paraId="0B790794" w14:textId="77777777" w:rsidTr="005F50EE">
        <w:tc>
          <w:tcPr>
            <w:tcW w:w="5104" w:type="dxa"/>
          </w:tcPr>
          <w:p w14:paraId="267991F8" w14:textId="3ACE1A4E" w:rsidR="00477C89" w:rsidRPr="00DF4489" w:rsidRDefault="00477C89" w:rsidP="00477C89">
            <w:pPr>
              <w:spacing w:after="0" w:line="240" w:lineRule="auto"/>
              <w:jc w:val="center"/>
              <w:outlineLvl w:val="0"/>
              <w:rPr>
                <w:rFonts w:ascii="Arial" w:eastAsia="Times New Roman" w:hAnsi="Arial" w:cs="Arial"/>
                <w:b/>
                <w:i/>
                <w:lang w:val="fr-FR"/>
              </w:rPr>
            </w:pPr>
            <w:bookmarkStart w:id="10" w:name="_Hlk203730918"/>
            <w:bookmarkEnd w:id="8"/>
            <w:r w:rsidRPr="00DF4489">
              <w:rPr>
                <w:rFonts w:ascii="Arial" w:eastAsia="Times New Roman" w:hAnsi="Arial" w:cs="Arial"/>
                <w:b/>
                <w:i/>
                <w:lang w:val="fr-FR"/>
              </w:rPr>
              <w:t xml:space="preserve">Section </w:t>
            </w:r>
            <w:r>
              <w:rPr>
                <w:rFonts w:ascii="Arial" w:eastAsia="Times New Roman" w:hAnsi="Arial" w:cs="Arial"/>
                <w:b/>
                <w:i/>
                <w:lang w:val="fr-FR"/>
              </w:rPr>
              <w:t>X+6</w:t>
            </w:r>
            <w:r w:rsidRPr="00DF4489">
              <w:rPr>
                <w:rFonts w:ascii="Arial" w:eastAsia="Times New Roman" w:hAnsi="Arial" w:cs="Arial"/>
                <w:b/>
                <w:i/>
                <w:lang w:val="fr-FR"/>
              </w:rPr>
              <w:t xml:space="preserve"> – </w:t>
            </w:r>
            <w:r>
              <w:rPr>
                <w:rFonts w:ascii="Arial" w:eastAsia="Times New Roman" w:hAnsi="Arial" w:cs="Arial"/>
                <w:b/>
                <w:i/>
                <w:lang w:val="fr-FR"/>
              </w:rPr>
              <w:t>Suppléments d’honoraires</w:t>
            </w:r>
          </w:p>
        </w:tc>
        <w:tc>
          <w:tcPr>
            <w:tcW w:w="5104" w:type="dxa"/>
          </w:tcPr>
          <w:p w14:paraId="20E1A4B9" w14:textId="5386901F" w:rsidR="00477C89" w:rsidRPr="00FE42AD" w:rsidRDefault="00477C89" w:rsidP="00477C89">
            <w:pPr>
              <w:spacing w:after="0" w:line="240" w:lineRule="auto"/>
              <w:jc w:val="center"/>
              <w:outlineLvl w:val="0"/>
              <w:rPr>
                <w:rFonts w:ascii="Arial" w:eastAsia="Times New Roman" w:hAnsi="Arial" w:cs="Arial"/>
                <w:i/>
                <w:lang w:val="nl-NL"/>
              </w:rPr>
            </w:pPr>
            <w:commentRangeStart w:id="11"/>
            <w:r w:rsidRPr="00DF4489">
              <w:rPr>
                <w:rFonts w:ascii="Arial" w:eastAsia="Times New Roman" w:hAnsi="Arial" w:cs="Arial"/>
                <w:b/>
                <w:i/>
                <w:lang w:val="nl-BE"/>
              </w:rPr>
              <w:t xml:space="preserve">Afdeling </w:t>
            </w:r>
            <w:r>
              <w:rPr>
                <w:rFonts w:ascii="Arial" w:eastAsia="Times New Roman" w:hAnsi="Arial" w:cs="Arial"/>
                <w:b/>
                <w:i/>
                <w:lang w:val="nl-BE"/>
              </w:rPr>
              <w:t>X+6</w:t>
            </w:r>
            <w:r w:rsidRPr="00DF4489">
              <w:rPr>
                <w:rFonts w:ascii="Arial" w:eastAsia="Times New Roman" w:hAnsi="Arial" w:cs="Arial"/>
                <w:b/>
                <w:i/>
                <w:lang w:val="nl-BE"/>
              </w:rPr>
              <w:t xml:space="preserve"> – </w:t>
            </w:r>
            <w:r>
              <w:rPr>
                <w:rFonts w:ascii="Arial" w:eastAsia="Times New Roman" w:hAnsi="Arial" w:cs="Arial"/>
                <w:b/>
                <w:i/>
                <w:lang w:val="nl-BE"/>
              </w:rPr>
              <w:t>Ereloonsupplementen</w:t>
            </w:r>
            <w:r w:rsidRPr="00FE42AD">
              <w:rPr>
                <w:rFonts w:ascii="Arial" w:eastAsia="Times New Roman" w:hAnsi="Arial" w:cs="Arial"/>
                <w:b/>
                <w:i/>
                <w:lang w:val="nl-BE"/>
              </w:rPr>
              <w:t xml:space="preserve"> </w:t>
            </w:r>
            <w:commentRangeEnd w:id="11"/>
            <w:r>
              <w:rPr>
                <w:rStyle w:val="Verwijzingopmerking"/>
              </w:rPr>
              <w:commentReference w:id="11"/>
            </w:r>
          </w:p>
        </w:tc>
      </w:tr>
      <w:tr w:rsidR="00477C89" w:rsidRPr="00FE42AD" w14:paraId="5651FEE6" w14:textId="77777777" w:rsidTr="005F50EE">
        <w:tc>
          <w:tcPr>
            <w:tcW w:w="5104" w:type="dxa"/>
          </w:tcPr>
          <w:p w14:paraId="1FD97255"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403F16E"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53590260" w14:textId="77777777" w:rsidTr="005F50EE">
        <w:tc>
          <w:tcPr>
            <w:tcW w:w="5104" w:type="dxa"/>
          </w:tcPr>
          <w:p w14:paraId="49DE1205" w14:textId="4B40B3B3"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+42</w:t>
            </w:r>
          </w:p>
        </w:tc>
        <w:tc>
          <w:tcPr>
            <w:tcW w:w="5104" w:type="dxa"/>
          </w:tcPr>
          <w:p w14:paraId="67661C4F" w14:textId="42B44197"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+42</w:t>
            </w:r>
          </w:p>
        </w:tc>
      </w:tr>
      <w:tr w:rsidR="00477C89" w:rsidRPr="00FE42AD" w14:paraId="402D0B52" w14:textId="77777777" w:rsidTr="005F50EE">
        <w:tc>
          <w:tcPr>
            <w:tcW w:w="5104" w:type="dxa"/>
          </w:tcPr>
          <w:p w14:paraId="479569CB"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A086C3C"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FE42AD" w14:paraId="1367F199" w14:textId="77777777" w:rsidTr="005F50EE">
        <w:tc>
          <w:tcPr>
            <w:tcW w:w="5104" w:type="dxa"/>
          </w:tcPr>
          <w:p w14:paraId="164FA29F" w14:textId="5894C7A8" w:rsidR="00477C89" w:rsidRPr="0096376B" w:rsidRDefault="00477C89" w:rsidP="00477C89">
            <w:pPr>
              <w:tabs>
                <w:tab w:val="left" w:pos="4468"/>
                <w:tab w:val="left" w:pos="5643"/>
                <w:tab w:val="left" w:pos="9747"/>
              </w:tabs>
              <w:spacing w:after="0" w:line="240" w:lineRule="auto"/>
              <w:jc w:val="both"/>
              <w:rPr>
                <w:rFonts w:ascii="Arial" w:hAnsi="Arial" w:cs="Arial"/>
                <w:u w:val="single"/>
                <w:lang w:val="nl-NL"/>
              </w:rPr>
            </w:pPr>
            <w:r>
              <w:rPr>
                <w:rFonts w:ascii="Arial" w:hAnsi="Arial" w:cs="Arial"/>
                <w:u w:val="single"/>
                <w:lang w:val="nl-NL"/>
              </w:rPr>
              <w:t>Supplément maximal</w:t>
            </w:r>
          </w:p>
        </w:tc>
        <w:tc>
          <w:tcPr>
            <w:tcW w:w="5104" w:type="dxa"/>
          </w:tcPr>
          <w:p w14:paraId="081E747F" w14:textId="5D5BFEB6" w:rsidR="00477C89" w:rsidRPr="0007108A" w:rsidRDefault="00477C89" w:rsidP="00477C89">
            <w:pPr>
              <w:tabs>
                <w:tab w:val="left" w:pos="4468"/>
                <w:tab w:val="left" w:pos="5643"/>
                <w:tab w:val="left" w:pos="9747"/>
              </w:tabs>
              <w:spacing w:after="0" w:line="240" w:lineRule="auto"/>
              <w:jc w:val="both"/>
              <w:rPr>
                <w:rFonts w:ascii="Arial" w:hAnsi="Arial" w:cs="Arial"/>
                <w:u w:val="single"/>
                <w:lang w:val="nl-NL"/>
              </w:rPr>
            </w:pPr>
            <w:r w:rsidRPr="0007108A">
              <w:rPr>
                <w:rFonts w:ascii="Arial" w:hAnsi="Arial" w:cs="Arial"/>
                <w:u w:val="single"/>
                <w:lang w:val="nl-NL"/>
              </w:rPr>
              <w:t>Maximumsupplement</w:t>
            </w:r>
          </w:p>
        </w:tc>
      </w:tr>
      <w:tr w:rsidR="00477C89" w:rsidRPr="00FE42AD" w14:paraId="2FEACA34" w14:textId="77777777" w:rsidTr="005F50EE">
        <w:tc>
          <w:tcPr>
            <w:tcW w:w="5104" w:type="dxa"/>
          </w:tcPr>
          <w:p w14:paraId="2E3EF2DF"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FF833DF"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7B5503" w14:paraId="01411063" w14:textId="77777777" w:rsidTr="005F50EE">
        <w:tc>
          <w:tcPr>
            <w:tcW w:w="5104" w:type="dxa"/>
          </w:tcPr>
          <w:p w14:paraId="1FE3B27A" w14:textId="02CFC1FE" w:rsidR="00477C89" w:rsidRPr="0096376B" w:rsidRDefault="00477C89" w:rsidP="00477C89">
            <w:pPr>
              <w:tabs>
                <w:tab w:val="left" w:pos="4468"/>
                <w:tab w:val="left" w:pos="5643"/>
                <w:tab w:val="left" w:pos="9747"/>
              </w:tabs>
              <w:spacing w:after="0" w:line="240" w:lineRule="auto"/>
              <w:jc w:val="both"/>
              <w:rPr>
                <w:rFonts w:ascii="Arial" w:hAnsi="Arial" w:cs="Arial"/>
                <w:lang w:val="fr-FR"/>
              </w:rPr>
            </w:pPr>
            <w:r w:rsidRPr="0096376B">
              <w:rPr>
                <w:rFonts w:ascii="Arial" w:hAnsi="Arial" w:cs="Arial"/>
                <w:lang w:val="fr-FR"/>
              </w:rPr>
              <w:t xml:space="preserve">Il est instauré un supplément maximal. Il s’agit d’une limitation du montant qui peut être facturé </w:t>
            </w:r>
            <w:r w:rsidRPr="0096376B">
              <w:rPr>
                <w:rFonts w:ascii="Arial" w:hAnsi="Arial" w:cs="Arial"/>
                <w:lang w:val="fr-FR"/>
              </w:rPr>
              <w:lastRenderedPageBreak/>
              <w:t>comme supplément.</w:t>
            </w:r>
            <w:r w:rsidRPr="00E10784">
              <w:rPr>
                <w:lang w:val="fr-FR"/>
              </w:rPr>
              <w:t xml:space="preserve"> </w:t>
            </w:r>
            <w:r w:rsidRPr="00E10784">
              <w:rPr>
                <w:rFonts w:ascii="Arial" w:hAnsi="Arial" w:cs="Arial"/>
                <w:lang w:val="fr-FR"/>
              </w:rPr>
              <w:t>Cela signifie que le dispensateur de soins ne peut pas facturer un montant plus élevé. Un montant inférieur est autorisé.</w:t>
            </w:r>
          </w:p>
        </w:tc>
        <w:tc>
          <w:tcPr>
            <w:tcW w:w="5104" w:type="dxa"/>
          </w:tcPr>
          <w:p w14:paraId="7D42A857" w14:textId="3CEA949F"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lastRenderedPageBreak/>
              <w:t xml:space="preserve">Er wordt voorzien in een maximumsupplement. Dit is een beperking van het bedrag dat als supplement </w:t>
            </w:r>
            <w:r w:rsidRPr="00FE42AD">
              <w:rPr>
                <w:rFonts w:ascii="Arial" w:hAnsi="Arial" w:cs="Arial"/>
                <w:lang w:val="nl-NL"/>
              </w:rPr>
              <w:lastRenderedPageBreak/>
              <w:t>mag aangerekend worden.</w:t>
            </w:r>
            <w:r w:rsidRPr="00C13E32">
              <w:rPr>
                <w:lang w:val="nl-NL"/>
              </w:rPr>
              <w:t xml:space="preserve"> </w:t>
            </w:r>
            <w:r w:rsidRPr="00E10784">
              <w:rPr>
                <w:rFonts w:ascii="Arial" w:hAnsi="Arial" w:cs="Arial"/>
                <w:lang w:val="nl-NL"/>
              </w:rPr>
              <w:t>Dit betekent dat de zorgverlener geen hoger bedrag mag aanrekenen. Een lager bedrag is wel toegestaan.</w:t>
            </w:r>
            <w:r w:rsidRPr="00FE42AD">
              <w:rPr>
                <w:rFonts w:ascii="Arial" w:hAnsi="Arial" w:cs="Arial"/>
                <w:lang w:val="nl-NL"/>
              </w:rPr>
              <w:t xml:space="preserve"> </w:t>
            </w:r>
          </w:p>
        </w:tc>
      </w:tr>
      <w:tr w:rsidR="00477C89" w:rsidRPr="007B5503" w14:paraId="01DDD329" w14:textId="77777777" w:rsidTr="005F50EE">
        <w:tc>
          <w:tcPr>
            <w:tcW w:w="5104" w:type="dxa"/>
          </w:tcPr>
          <w:p w14:paraId="554F6441"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1C5F1E5"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740CCFA" w14:textId="77777777" w:rsidTr="005F50EE">
        <w:tc>
          <w:tcPr>
            <w:tcW w:w="5104" w:type="dxa"/>
          </w:tcPr>
          <w:p w14:paraId="23C45380"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fr-FR"/>
              </w:rPr>
            </w:pPr>
            <w:r w:rsidRPr="0096376B">
              <w:rPr>
                <w:rFonts w:ascii="Arial" w:hAnsi="Arial" w:cs="Arial"/>
                <w:lang w:val="fr-FR"/>
              </w:rPr>
              <w:t>Le dispensateur de soins facture un supplément s'il facture un tarif qui s'écarte du montant ou de l’honoraire servant de base au calcul de l’intervention de l’assurance. Le supplément peut concerner soit des honoraires, soit un prix (coût).</w:t>
            </w:r>
          </w:p>
          <w:p w14:paraId="4FC99429"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0345C91B" w14:textId="165B4BD8"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De zorgverlener rekent een supplement aan, indien hij een tarief aanrekent dat afwijkt van het bedrag </w:t>
            </w:r>
            <w:r>
              <w:rPr>
                <w:rFonts w:ascii="Arial" w:hAnsi="Arial" w:cs="Arial"/>
                <w:lang w:val="nl-NL"/>
              </w:rPr>
              <w:t>of</w:t>
            </w:r>
            <w:r w:rsidRPr="00FE42AD">
              <w:rPr>
                <w:rFonts w:ascii="Arial" w:hAnsi="Arial" w:cs="Arial"/>
                <w:lang w:val="nl-NL"/>
              </w:rPr>
              <w:t xml:space="preserve"> het honorari</w:t>
            </w:r>
            <w:r>
              <w:rPr>
                <w:rFonts w:ascii="Arial" w:hAnsi="Arial" w:cs="Arial"/>
                <w:lang w:val="nl-NL"/>
              </w:rPr>
              <w:t>um</w:t>
            </w:r>
            <w:r w:rsidRPr="00FE42AD">
              <w:rPr>
                <w:rFonts w:ascii="Arial" w:hAnsi="Arial" w:cs="Arial"/>
                <w:lang w:val="nl-NL"/>
              </w:rPr>
              <w:t xml:space="preserve"> die als berekeningsbasis dienen voor de verzekeringstegemoetkoming. Het supplement kan zowel betrekking hebben op een honorari</w:t>
            </w:r>
            <w:r>
              <w:rPr>
                <w:rFonts w:ascii="Arial" w:hAnsi="Arial" w:cs="Arial"/>
                <w:lang w:val="nl-NL"/>
              </w:rPr>
              <w:t>um</w:t>
            </w:r>
            <w:r w:rsidRPr="00FE42AD">
              <w:rPr>
                <w:rFonts w:ascii="Arial" w:hAnsi="Arial" w:cs="Arial"/>
                <w:lang w:val="nl-NL"/>
              </w:rPr>
              <w:t xml:space="preserve"> of ereloon als een (kost)prijs.</w:t>
            </w:r>
          </w:p>
        </w:tc>
      </w:tr>
      <w:tr w:rsidR="00477C89" w:rsidRPr="00A827F1" w14:paraId="79EFC7FB" w14:textId="77777777" w:rsidTr="005F50EE">
        <w:tc>
          <w:tcPr>
            <w:tcW w:w="5104" w:type="dxa"/>
          </w:tcPr>
          <w:p w14:paraId="69FBE8D7"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020808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A02C886" w14:textId="77777777" w:rsidTr="005F50EE">
        <w:tc>
          <w:tcPr>
            <w:tcW w:w="5104" w:type="dxa"/>
          </w:tcPr>
          <w:p w14:paraId="50C183D6" w14:textId="5726914A" w:rsidR="00477C89" w:rsidRPr="00E10784" w:rsidRDefault="00477C89" w:rsidP="00477C89">
            <w:pPr>
              <w:tabs>
                <w:tab w:val="left" w:pos="4468"/>
                <w:tab w:val="left" w:pos="5643"/>
                <w:tab w:val="left" w:pos="9747"/>
              </w:tabs>
              <w:spacing w:after="0" w:line="240" w:lineRule="auto"/>
              <w:jc w:val="both"/>
              <w:rPr>
                <w:rFonts w:ascii="Arial" w:hAnsi="Arial" w:cs="Arial"/>
                <w:lang w:val="fr-FR"/>
              </w:rPr>
            </w:pPr>
            <w:r w:rsidRPr="00E10784">
              <w:rPr>
                <w:rFonts w:ascii="Arial" w:hAnsi="Arial" w:cs="Arial"/>
                <w:lang w:val="fr-FR"/>
              </w:rPr>
              <w:t xml:space="preserve">Si une interdiction des suppléments est prévue par ou en vertu d’une autre disposition </w:t>
            </w:r>
            <w:r w:rsidR="00093693">
              <w:rPr>
                <w:rFonts w:ascii="Arial" w:hAnsi="Arial" w:cs="Arial"/>
                <w:lang w:val="fr-FR"/>
              </w:rPr>
              <w:t>légale</w:t>
            </w:r>
            <w:r w:rsidRPr="00E10784">
              <w:rPr>
                <w:rFonts w:ascii="Arial" w:hAnsi="Arial" w:cs="Arial"/>
                <w:lang w:val="fr-FR"/>
              </w:rPr>
              <w:t>, aucune limitation des suppléments</w:t>
            </w:r>
            <w:r>
              <w:rPr>
                <w:rFonts w:ascii="Arial" w:hAnsi="Arial" w:cs="Arial"/>
                <w:lang w:val="fr-FR"/>
              </w:rPr>
              <w:t xml:space="preserve"> ne</w:t>
            </w:r>
            <w:r w:rsidRPr="00E10784">
              <w:rPr>
                <w:rFonts w:ascii="Arial" w:hAnsi="Arial" w:cs="Arial"/>
                <w:lang w:val="fr-FR"/>
              </w:rPr>
              <w:t xml:space="preserve"> s’appliquera. En d'autres termes, une interdiction des suppléments prime sur une limitation des suppléments et l’interdiction vaut comme lex specialis.</w:t>
            </w:r>
          </w:p>
        </w:tc>
        <w:tc>
          <w:tcPr>
            <w:tcW w:w="5104" w:type="dxa"/>
          </w:tcPr>
          <w:p w14:paraId="2AEB9012"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E10784">
              <w:rPr>
                <w:rFonts w:ascii="Arial" w:hAnsi="Arial" w:cs="Arial"/>
                <w:lang w:val="nl-NL"/>
              </w:rPr>
              <w:t xml:space="preserve">Indien door of krachtens een andere wetsbepaling is voorzien in een verbod op supplementen, dan geldt geen beperking van de supplementen. Een verbod op supplementen heeft m.a.w. voorrang op een beperking van supplementen en het verbod geldt als </w:t>
            </w:r>
            <w:r w:rsidRPr="00E10784">
              <w:rPr>
                <w:rFonts w:ascii="Arial" w:hAnsi="Arial" w:cs="Arial"/>
                <w:i/>
                <w:iCs/>
                <w:lang w:val="nl-NL"/>
              </w:rPr>
              <w:t>lex specialis</w:t>
            </w:r>
            <w:r w:rsidRPr="00E10784">
              <w:rPr>
                <w:rFonts w:ascii="Arial" w:hAnsi="Arial" w:cs="Arial"/>
                <w:lang w:val="nl-NL"/>
              </w:rPr>
              <w:t>.</w:t>
            </w:r>
            <w:r w:rsidRPr="00FE42AD">
              <w:rPr>
                <w:rFonts w:ascii="Arial" w:hAnsi="Arial" w:cs="Arial"/>
                <w:lang w:val="nl-NL"/>
              </w:rPr>
              <w:t xml:space="preserve"> </w:t>
            </w:r>
          </w:p>
        </w:tc>
      </w:tr>
      <w:tr w:rsidR="00477C89" w:rsidRPr="00A827F1" w14:paraId="2A5B4BC3" w14:textId="77777777" w:rsidTr="005F50EE">
        <w:tc>
          <w:tcPr>
            <w:tcW w:w="5104" w:type="dxa"/>
          </w:tcPr>
          <w:p w14:paraId="47D3892E"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9429503"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B1374C9" w14:textId="77777777" w:rsidTr="005F50EE">
        <w:tc>
          <w:tcPr>
            <w:tcW w:w="5104" w:type="dxa"/>
          </w:tcPr>
          <w:p w14:paraId="0B76501C" w14:textId="77777777" w:rsidR="00477C89" w:rsidRPr="003A272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Voici quelques exemples de telles interdictions :</w:t>
            </w:r>
          </w:p>
        </w:tc>
        <w:tc>
          <w:tcPr>
            <w:tcW w:w="5104" w:type="dxa"/>
          </w:tcPr>
          <w:p w14:paraId="54EBF49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Voorbeelden van dergelijke verbodsbepalingen zijn onder meer: </w:t>
            </w:r>
          </w:p>
        </w:tc>
      </w:tr>
      <w:tr w:rsidR="00477C89" w:rsidRPr="00A827F1" w14:paraId="1FC4BDEE" w14:textId="77777777" w:rsidTr="005F50EE">
        <w:tc>
          <w:tcPr>
            <w:tcW w:w="5104" w:type="dxa"/>
          </w:tcPr>
          <w:p w14:paraId="34742FBE"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8585514"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6DEF077" w14:textId="77777777" w:rsidTr="005F50EE">
        <w:tc>
          <w:tcPr>
            <w:tcW w:w="5104" w:type="dxa"/>
          </w:tcPr>
          <w:p w14:paraId="59B708E2" w14:textId="77777777" w:rsidR="00477C89" w:rsidRPr="003A272C" w:rsidRDefault="00477C89" w:rsidP="00477C89">
            <w:pPr>
              <w:pStyle w:val="Lijstalinea"/>
              <w:numPr>
                <w:ilvl w:val="0"/>
                <w:numId w:val="8"/>
              </w:numPr>
              <w:tabs>
                <w:tab w:val="left" w:pos="4468"/>
                <w:tab w:val="left" w:pos="5643"/>
                <w:tab w:val="left" w:pos="9747"/>
              </w:tabs>
              <w:spacing w:after="0" w:line="240" w:lineRule="auto"/>
              <w:ind w:left="396"/>
              <w:jc w:val="both"/>
              <w:rPr>
                <w:rFonts w:ascii="Arial" w:hAnsi="Arial" w:cs="Arial"/>
                <w:lang w:val="fr-FR"/>
              </w:rPr>
            </w:pPr>
            <w:r w:rsidRPr="003A272C">
              <w:rPr>
                <w:rFonts w:ascii="Arial" w:hAnsi="Arial" w:cs="Arial"/>
                <w:lang w:val="fr-FR"/>
              </w:rPr>
              <w:t>L'interdiction des suppléments pour les patients hospitalisés dans une chambre double ou multiple (cf. article 152 de la loi coordonnée sur les hôpitaux) ;</w:t>
            </w:r>
          </w:p>
        </w:tc>
        <w:tc>
          <w:tcPr>
            <w:tcW w:w="5104" w:type="dxa"/>
          </w:tcPr>
          <w:p w14:paraId="5DDCB37F" w14:textId="77777777" w:rsidR="00477C89" w:rsidRPr="003A272C" w:rsidRDefault="00477C89" w:rsidP="00477C89">
            <w:pPr>
              <w:pStyle w:val="Lijstalinea"/>
              <w:numPr>
                <w:ilvl w:val="0"/>
                <w:numId w:val="9"/>
              </w:numPr>
              <w:tabs>
                <w:tab w:val="left" w:pos="4468"/>
                <w:tab w:val="left" w:pos="5643"/>
                <w:tab w:val="left" w:pos="9747"/>
              </w:tabs>
              <w:spacing w:after="0" w:line="240" w:lineRule="auto"/>
              <w:ind w:left="394"/>
              <w:jc w:val="both"/>
              <w:rPr>
                <w:rFonts w:ascii="Arial" w:hAnsi="Arial" w:cs="Arial"/>
                <w:lang w:val="nl-NL"/>
              </w:rPr>
            </w:pPr>
            <w:r w:rsidRPr="003A272C">
              <w:rPr>
                <w:rFonts w:ascii="Arial" w:hAnsi="Arial" w:cs="Arial"/>
                <w:lang w:val="nl-NL"/>
              </w:rPr>
              <w:t>Het verbod op supplementen voor gehospitaliseerde patiënten opgenomen in een twee- of meerpersoonskamer (cfr. artikel 152 van de gecoördineerde ziekenhuiswet);</w:t>
            </w:r>
          </w:p>
        </w:tc>
      </w:tr>
      <w:tr w:rsidR="00477C89" w:rsidRPr="00A827F1" w14:paraId="566E2C80" w14:textId="77777777" w:rsidTr="005F50EE">
        <w:tc>
          <w:tcPr>
            <w:tcW w:w="5104" w:type="dxa"/>
          </w:tcPr>
          <w:p w14:paraId="61BC038F" w14:textId="77777777" w:rsidR="00477C89" w:rsidRPr="003A272C" w:rsidRDefault="00477C89" w:rsidP="00477C89">
            <w:pPr>
              <w:pStyle w:val="Lijstalinea"/>
              <w:tabs>
                <w:tab w:val="left" w:pos="4468"/>
                <w:tab w:val="left" w:pos="5643"/>
                <w:tab w:val="left" w:pos="9747"/>
              </w:tabs>
              <w:spacing w:after="0" w:line="240" w:lineRule="auto"/>
              <w:ind w:left="396"/>
              <w:jc w:val="both"/>
              <w:rPr>
                <w:rFonts w:ascii="Arial" w:hAnsi="Arial" w:cs="Arial"/>
                <w:lang w:val="nl-NL"/>
              </w:rPr>
            </w:pPr>
          </w:p>
        </w:tc>
        <w:tc>
          <w:tcPr>
            <w:tcW w:w="5104" w:type="dxa"/>
          </w:tcPr>
          <w:p w14:paraId="04E16862" w14:textId="77777777" w:rsidR="00477C89" w:rsidRPr="003A272C" w:rsidRDefault="00477C89" w:rsidP="00477C89">
            <w:pPr>
              <w:pStyle w:val="Lijstalinea"/>
              <w:tabs>
                <w:tab w:val="left" w:pos="4468"/>
                <w:tab w:val="left" w:pos="5643"/>
                <w:tab w:val="left" w:pos="9747"/>
              </w:tabs>
              <w:spacing w:after="0" w:line="240" w:lineRule="auto"/>
              <w:ind w:left="394"/>
              <w:jc w:val="both"/>
              <w:rPr>
                <w:rFonts w:ascii="Arial" w:hAnsi="Arial" w:cs="Arial"/>
                <w:lang w:val="nl-NL"/>
              </w:rPr>
            </w:pPr>
          </w:p>
        </w:tc>
      </w:tr>
      <w:tr w:rsidR="00477C89" w:rsidRPr="00A827F1" w14:paraId="4821A6D8" w14:textId="77777777" w:rsidTr="005F50EE">
        <w:tc>
          <w:tcPr>
            <w:tcW w:w="5104" w:type="dxa"/>
          </w:tcPr>
          <w:p w14:paraId="5BAE0D7B" w14:textId="2EF874F3" w:rsidR="00477C89" w:rsidRPr="003A272C" w:rsidRDefault="00477C89" w:rsidP="00477C89">
            <w:pPr>
              <w:pStyle w:val="Lijstalinea"/>
              <w:numPr>
                <w:ilvl w:val="0"/>
                <w:numId w:val="8"/>
              </w:numPr>
              <w:tabs>
                <w:tab w:val="left" w:pos="4468"/>
                <w:tab w:val="left" w:pos="5643"/>
                <w:tab w:val="left" w:pos="9747"/>
              </w:tabs>
              <w:spacing w:after="0" w:line="240" w:lineRule="auto"/>
              <w:ind w:left="396"/>
              <w:jc w:val="both"/>
              <w:rPr>
                <w:rFonts w:ascii="Arial" w:hAnsi="Arial" w:cs="Arial"/>
                <w:lang w:val="fr-FR"/>
              </w:rPr>
            </w:pPr>
            <w:r w:rsidRPr="003A272C">
              <w:rPr>
                <w:rFonts w:ascii="Arial" w:hAnsi="Arial" w:cs="Arial"/>
                <w:lang w:val="fr-FR"/>
              </w:rPr>
              <w:t xml:space="preserve">L'interdiction des suppléments pour les patients non hospitalisés pour des prestations dispensées </w:t>
            </w:r>
            <w:r w:rsidR="00093693">
              <w:rPr>
                <w:rFonts w:ascii="Arial" w:hAnsi="Arial" w:cs="Arial"/>
                <w:lang w:val="fr-FR"/>
              </w:rPr>
              <w:t>dans le cadre de l’</w:t>
            </w:r>
            <w:r w:rsidRPr="003A272C">
              <w:rPr>
                <w:rFonts w:ascii="Arial" w:hAnsi="Arial" w:cs="Arial"/>
                <w:lang w:val="fr-FR"/>
              </w:rPr>
              <w:t>imagerie médicale lourde en dehors de circonstances particulières (cf. article 152/1 de la loi coordonnée sur les hôpitaux) ;</w:t>
            </w:r>
          </w:p>
        </w:tc>
        <w:tc>
          <w:tcPr>
            <w:tcW w:w="5104" w:type="dxa"/>
          </w:tcPr>
          <w:p w14:paraId="3F47FF80" w14:textId="77777777" w:rsidR="00477C89" w:rsidRPr="003A272C" w:rsidRDefault="00477C89" w:rsidP="00477C89">
            <w:pPr>
              <w:pStyle w:val="Lijstalinea"/>
              <w:numPr>
                <w:ilvl w:val="0"/>
                <w:numId w:val="9"/>
              </w:numPr>
              <w:tabs>
                <w:tab w:val="left" w:pos="4468"/>
                <w:tab w:val="left" w:pos="5643"/>
                <w:tab w:val="left" w:pos="9747"/>
              </w:tabs>
              <w:spacing w:after="0" w:line="240" w:lineRule="auto"/>
              <w:ind w:left="394"/>
              <w:jc w:val="both"/>
              <w:rPr>
                <w:rFonts w:ascii="Arial" w:hAnsi="Arial" w:cs="Arial"/>
                <w:lang w:val="nl-NL"/>
              </w:rPr>
            </w:pPr>
            <w:r w:rsidRPr="003A272C">
              <w:rPr>
                <w:rFonts w:ascii="Arial" w:hAnsi="Arial" w:cs="Arial"/>
                <w:lang w:val="nl-NL"/>
              </w:rPr>
              <w:t>Het verbod op supplementen voor niet-gehospitaliseerde patiënten voor verstrekkingen verleend met toepassing van zware medische beeldvorming buiten bijzondere omstandigheden om (cfr. artikel 152/1 van de gecoördineerde ziekenhuiswet);</w:t>
            </w:r>
          </w:p>
        </w:tc>
      </w:tr>
      <w:tr w:rsidR="00477C89" w:rsidRPr="00A827F1" w14:paraId="1383C023" w14:textId="77777777" w:rsidTr="005F50EE">
        <w:tc>
          <w:tcPr>
            <w:tcW w:w="5104" w:type="dxa"/>
          </w:tcPr>
          <w:p w14:paraId="4E0A8209" w14:textId="77777777" w:rsidR="00477C89" w:rsidRPr="003A272C" w:rsidRDefault="00477C89" w:rsidP="00477C89">
            <w:pPr>
              <w:pStyle w:val="Lijstalinea"/>
              <w:tabs>
                <w:tab w:val="left" w:pos="4468"/>
                <w:tab w:val="left" w:pos="5643"/>
                <w:tab w:val="left" w:pos="9747"/>
              </w:tabs>
              <w:spacing w:after="0" w:line="240" w:lineRule="auto"/>
              <w:ind w:left="396"/>
              <w:jc w:val="both"/>
              <w:rPr>
                <w:rFonts w:ascii="Arial" w:hAnsi="Arial" w:cs="Arial"/>
                <w:lang w:val="nl-NL"/>
              </w:rPr>
            </w:pPr>
          </w:p>
        </w:tc>
        <w:tc>
          <w:tcPr>
            <w:tcW w:w="5104" w:type="dxa"/>
          </w:tcPr>
          <w:p w14:paraId="042B7DBF" w14:textId="77777777" w:rsidR="00477C89" w:rsidRPr="003A272C" w:rsidRDefault="00477C89" w:rsidP="00477C89">
            <w:pPr>
              <w:pStyle w:val="Lijstalinea"/>
              <w:tabs>
                <w:tab w:val="left" w:pos="4468"/>
                <w:tab w:val="left" w:pos="5643"/>
                <w:tab w:val="left" w:pos="9747"/>
              </w:tabs>
              <w:spacing w:after="0" w:line="240" w:lineRule="auto"/>
              <w:ind w:left="394"/>
              <w:jc w:val="both"/>
              <w:rPr>
                <w:rFonts w:ascii="Arial" w:hAnsi="Arial" w:cs="Arial"/>
                <w:lang w:val="nl-NL"/>
              </w:rPr>
            </w:pPr>
          </w:p>
        </w:tc>
      </w:tr>
      <w:tr w:rsidR="00477C89" w:rsidRPr="00A827F1" w14:paraId="11A96A7A" w14:textId="77777777" w:rsidTr="005F50EE">
        <w:tc>
          <w:tcPr>
            <w:tcW w:w="5104" w:type="dxa"/>
          </w:tcPr>
          <w:p w14:paraId="406EB796" w14:textId="003F9149" w:rsidR="00477C89" w:rsidRPr="003A272C" w:rsidRDefault="00477C89" w:rsidP="00477C89">
            <w:pPr>
              <w:pStyle w:val="Lijstalinea"/>
              <w:numPr>
                <w:ilvl w:val="0"/>
                <w:numId w:val="8"/>
              </w:numPr>
              <w:tabs>
                <w:tab w:val="left" w:pos="4468"/>
                <w:tab w:val="left" w:pos="5643"/>
                <w:tab w:val="left" w:pos="9747"/>
              </w:tabs>
              <w:spacing w:after="0" w:line="240" w:lineRule="auto"/>
              <w:ind w:left="396"/>
              <w:jc w:val="both"/>
              <w:rPr>
                <w:rFonts w:ascii="Arial" w:hAnsi="Arial" w:cs="Arial"/>
                <w:lang w:val="fr-FR"/>
              </w:rPr>
            </w:pPr>
            <w:r w:rsidRPr="003A272C">
              <w:rPr>
                <w:rFonts w:ascii="Arial" w:hAnsi="Arial" w:cs="Arial"/>
                <w:lang w:val="fr-FR"/>
              </w:rPr>
              <w:t xml:space="preserve">L'interdiction des suppléments pour les soins ambulatoires dispensés aux bénéficiaires </w:t>
            </w:r>
            <w:r w:rsidR="00093693">
              <w:rPr>
                <w:rFonts w:ascii="Arial" w:hAnsi="Arial" w:cs="Arial"/>
                <w:lang w:val="fr-FR"/>
              </w:rPr>
              <w:t>de l’</w:t>
            </w:r>
            <w:r w:rsidRPr="003A272C">
              <w:rPr>
                <w:rFonts w:ascii="Arial" w:hAnsi="Arial" w:cs="Arial"/>
                <w:lang w:val="fr-FR"/>
              </w:rPr>
              <w:t>intervention majorée (cf. article 53, §</w:t>
            </w:r>
            <w:r>
              <w:rPr>
                <w:rFonts w:ascii="Arial" w:hAnsi="Arial" w:cs="Arial"/>
                <w:lang w:val="fr-FR"/>
              </w:rPr>
              <w:t> </w:t>
            </w:r>
            <w:r w:rsidRPr="003A272C">
              <w:rPr>
                <w:rFonts w:ascii="Arial" w:hAnsi="Arial" w:cs="Arial"/>
                <w:lang w:val="fr-FR"/>
              </w:rPr>
              <w:t>5, de la loi SSI) ;</w:t>
            </w:r>
          </w:p>
        </w:tc>
        <w:tc>
          <w:tcPr>
            <w:tcW w:w="5104" w:type="dxa"/>
          </w:tcPr>
          <w:p w14:paraId="7285CA29" w14:textId="4DE4B203" w:rsidR="00477C89" w:rsidRPr="003A272C" w:rsidRDefault="00477C89" w:rsidP="00477C89">
            <w:pPr>
              <w:pStyle w:val="Lijstalinea"/>
              <w:numPr>
                <w:ilvl w:val="0"/>
                <w:numId w:val="9"/>
              </w:numPr>
              <w:tabs>
                <w:tab w:val="left" w:pos="4468"/>
                <w:tab w:val="left" w:pos="5643"/>
                <w:tab w:val="left" w:pos="9747"/>
              </w:tabs>
              <w:spacing w:after="0" w:line="240" w:lineRule="auto"/>
              <w:ind w:left="394"/>
              <w:jc w:val="both"/>
              <w:rPr>
                <w:rFonts w:ascii="Arial" w:hAnsi="Arial" w:cs="Arial"/>
                <w:lang w:val="nl-NL"/>
              </w:rPr>
            </w:pPr>
            <w:r w:rsidRPr="003A272C">
              <w:rPr>
                <w:rFonts w:ascii="Arial" w:hAnsi="Arial" w:cs="Arial"/>
                <w:lang w:val="nl-NL"/>
              </w:rPr>
              <w:t>Het verbod op supplementen voor ambulante zorg verleend aan rechthebbenden op een verhoogde tegemoetkoming (cfr. artikel 53, §</w:t>
            </w:r>
            <w:r>
              <w:rPr>
                <w:rFonts w:ascii="Arial" w:hAnsi="Arial" w:cs="Arial"/>
                <w:lang w:val="nl-NL"/>
              </w:rPr>
              <w:t> </w:t>
            </w:r>
            <w:r w:rsidRPr="003A272C">
              <w:rPr>
                <w:rFonts w:ascii="Arial" w:hAnsi="Arial" w:cs="Arial"/>
                <w:lang w:val="nl-NL"/>
              </w:rPr>
              <w:t>5, van de GVU-wet);</w:t>
            </w:r>
          </w:p>
        </w:tc>
      </w:tr>
      <w:tr w:rsidR="00477C89" w:rsidRPr="00A827F1" w14:paraId="280A2386" w14:textId="77777777" w:rsidTr="005F50EE">
        <w:tc>
          <w:tcPr>
            <w:tcW w:w="5104" w:type="dxa"/>
          </w:tcPr>
          <w:p w14:paraId="2B668D3C" w14:textId="77777777" w:rsidR="00477C89" w:rsidRPr="003A272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844F225" w14:textId="77777777" w:rsidR="00477C89" w:rsidRPr="003A272C" w:rsidRDefault="00477C89" w:rsidP="00477C89">
            <w:pPr>
              <w:pStyle w:val="Lijstalinea"/>
              <w:tabs>
                <w:tab w:val="left" w:pos="4468"/>
                <w:tab w:val="left" w:pos="5643"/>
                <w:tab w:val="left" w:pos="9747"/>
              </w:tabs>
              <w:spacing w:after="0" w:line="240" w:lineRule="auto"/>
              <w:ind w:left="394"/>
              <w:jc w:val="both"/>
              <w:rPr>
                <w:rFonts w:ascii="Arial" w:hAnsi="Arial" w:cs="Arial"/>
                <w:lang w:val="nl-NL"/>
              </w:rPr>
            </w:pPr>
          </w:p>
        </w:tc>
      </w:tr>
      <w:tr w:rsidR="00477C89" w:rsidRPr="00A827F1" w14:paraId="5E921197" w14:textId="77777777" w:rsidTr="005F50EE">
        <w:tc>
          <w:tcPr>
            <w:tcW w:w="5104" w:type="dxa"/>
          </w:tcPr>
          <w:p w14:paraId="28019A5B" w14:textId="16353438" w:rsidR="00477C89" w:rsidRPr="003A272C" w:rsidRDefault="00477C89" w:rsidP="00477C89">
            <w:pPr>
              <w:pStyle w:val="Lijstalinea"/>
              <w:numPr>
                <w:ilvl w:val="0"/>
                <w:numId w:val="8"/>
              </w:numPr>
              <w:tabs>
                <w:tab w:val="left" w:pos="4468"/>
                <w:tab w:val="left" w:pos="5643"/>
                <w:tab w:val="left" w:pos="9747"/>
              </w:tabs>
              <w:spacing w:after="0" w:line="240" w:lineRule="auto"/>
              <w:ind w:left="396"/>
              <w:jc w:val="both"/>
              <w:rPr>
                <w:rFonts w:ascii="Arial" w:hAnsi="Arial" w:cs="Arial"/>
                <w:lang w:val="fr-FR"/>
              </w:rPr>
            </w:pPr>
            <w:r w:rsidRPr="003A272C">
              <w:rPr>
                <w:rFonts w:ascii="Arial" w:hAnsi="Arial" w:cs="Arial"/>
                <w:lang w:val="fr-FR"/>
              </w:rPr>
              <w:t>L'interdiction des suppléments pour les prestations dispensées dans le cadre d'un service de garde organisé (cf. article 35, §</w:t>
            </w:r>
            <w:r>
              <w:rPr>
                <w:rFonts w:ascii="Arial" w:hAnsi="Arial" w:cs="Arial"/>
                <w:lang w:val="fr-FR"/>
              </w:rPr>
              <w:t> </w:t>
            </w:r>
            <w:r w:rsidRPr="003A272C">
              <w:rPr>
                <w:rFonts w:ascii="Arial" w:hAnsi="Arial" w:cs="Arial"/>
                <w:lang w:val="fr-FR"/>
              </w:rPr>
              <w:t>1</w:t>
            </w:r>
            <w:r w:rsidRPr="00E10784">
              <w:rPr>
                <w:rFonts w:ascii="Arial" w:hAnsi="Arial" w:cs="Arial"/>
                <w:vertAlign w:val="superscript"/>
                <w:lang w:val="fr-FR"/>
              </w:rPr>
              <w:t>er</w:t>
            </w:r>
            <w:r w:rsidRPr="003A272C">
              <w:rPr>
                <w:rFonts w:ascii="Arial" w:hAnsi="Arial" w:cs="Arial"/>
                <w:lang w:val="fr-FR"/>
              </w:rPr>
              <w:t>, alinéa 5, de la loi SSI) ;</w:t>
            </w:r>
          </w:p>
        </w:tc>
        <w:tc>
          <w:tcPr>
            <w:tcW w:w="5104" w:type="dxa"/>
          </w:tcPr>
          <w:p w14:paraId="608B6442" w14:textId="41C0AF88" w:rsidR="00477C89" w:rsidRPr="003A272C" w:rsidRDefault="00477C89" w:rsidP="00477C89">
            <w:pPr>
              <w:pStyle w:val="Lijstalinea"/>
              <w:numPr>
                <w:ilvl w:val="0"/>
                <w:numId w:val="9"/>
              </w:numPr>
              <w:tabs>
                <w:tab w:val="left" w:pos="4468"/>
                <w:tab w:val="left" w:pos="5643"/>
                <w:tab w:val="left" w:pos="9747"/>
              </w:tabs>
              <w:spacing w:after="0" w:line="240" w:lineRule="auto"/>
              <w:ind w:left="394"/>
              <w:jc w:val="both"/>
              <w:rPr>
                <w:rFonts w:ascii="Arial" w:hAnsi="Arial" w:cs="Arial"/>
                <w:lang w:val="nl-NL"/>
              </w:rPr>
            </w:pPr>
            <w:r w:rsidRPr="003A272C">
              <w:rPr>
                <w:rFonts w:ascii="Arial" w:hAnsi="Arial" w:cs="Arial"/>
                <w:lang w:val="nl-NL"/>
              </w:rPr>
              <w:t>Het verbod op supplementen voor de verstrekkingen die worden verleend in het raam van een georganiseerde wachtdienst (cfr. artikel 35, §</w:t>
            </w:r>
            <w:r>
              <w:rPr>
                <w:rFonts w:ascii="Arial" w:hAnsi="Arial" w:cs="Arial"/>
                <w:lang w:val="nl-NL"/>
              </w:rPr>
              <w:t> </w:t>
            </w:r>
            <w:r w:rsidRPr="003A272C">
              <w:rPr>
                <w:rFonts w:ascii="Arial" w:hAnsi="Arial" w:cs="Arial"/>
                <w:lang w:val="nl-NL"/>
              </w:rPr>
              <w:t xml:space="preserve">1, </w:t>
            </w:r>
            <w:r>
              <w:rPr>
                <w:rFonts w:ascii="Arial" w:hAnsi="Arial" w:cs="Arial"/>
                <w:lang w:val="nl-NL"/>
              </w:rPr>
              <w:t xml:space="preserve">vijfde </w:t>
            </w:r>
            <w:r w:rsidRPr="003A272C">
              <w:rPr>
                <w:rFonts w:ascii="Arial" w:hAnsi="Arial" w:cs="Arial"/>
                <w:lang w:val="nl-NL"/>
              </w:rPr>
              <w:t>lid, van de GVU-wet).</w:t>
            </w:r>
          </w:p>
        </w:tc>
      </w:tr>
      <w:tr w:rsidR="00477C89" w:rsidRPr="00A827F1" w14:paraId="3E50EC13" w14:textId="77777777" w:rsidTr="005F50EE">
        <w:tc>
          <w:tcPr>
            <w:tcW w:w="5104" w:type="dxa"/>
          </w:tcPr>
          <w:p w14:paraId="24B9B0FD" w14:textId="77777777" w:rsidR="00477C89" w:rsidRPr="003A272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2C7994E" w14:textId="77777777" w:rsidR="00477C89" w:rsidRPr="003A272C" w:rsidRDefault="00477C89" w:rsidP="00477C89">
            <w:pPr>
              <w:pStyle w:val="Lijstalinea"/>
              <w:tabs>
                <w:tab w:val="left" w:pos="4468"/>
                <w:tab w:val="left" w:pos="5643"/>
                <w:tab w:val="left" w:pos="9747"/>
              </w:tabs>
              <w:spacing w:after="0" w:line="240" w:lineRule="auto"/>
              <w:ind w:left="394"/>
              <w:jc w:val="both"/>
              <w:rPr>
                <w:rFonts w:ascii="Arial" w:hAnsi="Arial" w:cs="Arial"/>
                <w:lang w:val="nl-NL"/>
              </w:rPr>
            </w:pPr>
          </w:p>
        </w:tc>
      </w:tr>
      <w:tr w:rsidR="00477C89" w:rsidRPr="00A827F1" w14:paraId="7659CD7C" w14:textId="77777777" w:rsidTr="005F50EE">
        <w:tc>
          <w:tcPr>
            <w:tcW w:w="5104" w:type="dxa"/>
          </w:tcPr>
          <w:p w14:paraId="417D6B39" w14:textId="52B7669F" w:rsidR="00477C89" w:rsidRPr="003A272C" w:rsidRDefault="00477C89" w:rsidP="00477C89">
            <w:pPr>
              <w:pStyle w:val="Lijstalinea"/>
              <w:numPr>
                <w:ilvl w:val="0"/>
                <w:numId w:val="8"/>
              </w:numPr>
              <w:tabs>
                <w:tab w:val="left" w:pos="4468"/>
                <w:tab w:val="left" w:pos="5643"/>
                <w:tab w:val="left" w:pos="9747"/>
              </w:tabs>
              <w:spacing w:after="0" w:line="240" w:lineRule="auto"/>
              <w:ind w:left="396"/>
              <w:jc w:val="both"/>
              <w:rPr>
                <w:rFonts w:ascii="Arial" w:hAnsi="Arial" w:cs="Arial"/>
                <w:lang w:val="fr-FR"/>
              </w:rPr>
            </w:pPr>
            <w:r w:rsidRPr="003A272C">
              <w:rPr>
                <w:rFonts w:ascii="Arial" w:hAnsi="Arial" w:cs="Arial"/>
                <w:lang w:val="fr-FR"/>
              </w:rPr>
              <w:t xml:space="preserve">L'interdiction des suppléments pour les prestations dispensées dans le cadre de consultations dans un hôpital sans que le bénéficiaire ait été préalablement informé de manière explicite par l'établissement hospitalier de l'adhésion ou non aux accords du </w:t>
            </w:r>
            <w:r w:rsidRPr="003A272C">
              <w:rPr>
                <w:rFonts w:ascii="Arial" w:hAnsi="Arial" w:cs="Arial"/>
                <w:lang w:val="fr-FR"/>
              </w:rPr>
              <w:lastRenderedPageBreak/>
              <w:t>dispensateur de soins (cf. article 50, §</w:t>
            </w:r>
            <w:r>
              <w:rPr>
                <w:rFonts w:ascii="Arial" w:hAnsi="Arial" w:cs="Arial"/>
                <w:lang w:val="fr-FR"/>
              </w:rPr>
              <w:t xml:space="preserve"> </w:t>
            </w:r>
            <w:r w:rsidRPr="003A272C">
              <w:rPr>
                <w:rFonts w:ascii="Arial" w:hAnsi="Arial" w:cs="Arial"/>
                <w:lang w:val="fr-FR"/>
              </w:rPr>
              <w:t>3bis, de la loi SSI) ;</w:t>
            </w:r>
          </w:p>
        </w:tc>
        <w:tc>
          <w:tcPr>
            <w:tcW w:w="5104" w:type="dxa"/>
          </w:tcPr>
          <w:p w14:paraId="03873DC8" w14:textId="57493938" w:rsidR="00477C89" w:rsidRPr="003A272C" w:rsidRDefault="00477C89" w:rsidP="00477C89">
            <w:pPr>
              <w:pStyle w:val="Lijstalinea"/>
              <w:numPr>
                <w:ilvl w:val="0"/>
                <w:numId w:val="9"/>
              </w:numPr>
              <w:tabs>
                <w:tab w:val="left" w:pos="4468"/>
                <w:tab w:val="left" w:pos="5643"/>
                <w:tab w:val="left" w:pos="9747"/>
              </w:tabs>
              <w:spacing w:after="0" w:line="240" w:lineRule="auto"/>
              <w:ind w:left="394"/>
              <w:jc w:val="both"/>
              <w:rPr>
                <w:rFonts w:ascii="Arial" w:hAnsi="Arial" w:cs="Arial"/>
                <w:lang w:val="nl-NL"/>
              </w:rPr>
            </w:pPr>
            <w:r w:rsidRPr="003A272C">
              <w:rPr>
                <w:rFonts w:ascii="Arial" w:hAnsi="Arial" w:cs="Arial"/>
                <w:lang w:val="nl-NL"/>
              </w:rPr>
              <w:lastRenderedPageBreak/>
              <w:t xml:space="preserve">Het verbod op supplementen voor de verstrekkingen verleend in het raam van raadplegingen in een ziekenhuis zonder dat de rechthebbende voorafgaandelijk door de verplegingsinrichting uitdrukkelijk werd geïnformeerd aangaande het al dan niet toegetreden zijn tot de akkoorden van de </w:t>
            </w:r>
            <w:r w:rsidRPr="003A272C">
              <w:rPr>
                <w:rFonts w:ascii="Arial" w:hAnsi="Arial" w:cs="Arial"/>
                <w:lang w:val="nl-NL"/>
              </w:rPr>
              <w:lastRenderedPageBreak/>
              <w:t>zorgverlener (cfr. artikel 50, § 3</w:t>
            </w:r>
            <w:r>
              <w:rPr>
                <w:rFonts w:ascii="Arial" w:hAnsi="Arial" w:cs="Arial"/>
                <w:lang w:val="nl-NL"/>
              </w:rPr>
              <w:t xml:space="preserve"> </w:t>
            </w:r>
            <w:r w:rsidRPr="003A272C">
              <w:rPr>
                <w:rFonts w:ascii="Arial" w:hAnsi="Arial" w:cs="Arial"/>
                <w:lang w:val="nl-NL"/>
              </w:rPr>
              <w:t>bis, van de GVU-wet);</w:t>
            </w:r>
          </w:p>
        </w:tc>
      </w:tr>
      <w:tr w:rsidR="00477C89" w:rsidRPr="00A827F1" w14:paraId="470F00A8" w14:textId="77777777" w:rsidTr="005F50EE">
        <w:tc>
          <w:tcPr>
            <w:tcW w:w="5104" w:type="dxa"/>
          </w:tcPr>
          <w:p w14:paraId="6E2D1836" w14:textId="77777777" w:rsidR="00477C89" w:rsidRPr="003A272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306CDB8" w14:textId="77777777" w:rsidR="00477C89" w:rsidRPr="003A272C" w:rsidRDefault="00477C89" w:rsidP="00477C89">
            <w:pPr>
              <w:pStyle w:val="Lijstalinea"/>
              <w:tabs>
                <w:tab w:val="left" w:pos="4468"/>
                <w:tab w:val="left" w:pos="5643"/>
                <w:tab w:val="left" w:pos="9747"/>
              </w:tabs>
              <w:spacing w:after="0" w:line="240" w:lineRule="auto"/>
              <w:ind w:left="394"/>
              <w:jc w:val="both"/>
              <w:rPr>
                <w:rFonts w:ascii="Arial" w:hAnsi="Arial" w:cs="Arial"/>
                <w:lang w:val="nl-NL"/>
              </w:rPr>
            </w:pPr>
          </w:p>
        </w:tc>
      </w:tr>
      <w:tr w:rsidR="00477C89" w:rsidRPr="00A827F1" w14:paraId="03763905" w14:textId="77777777" w:rsidTr="005F50EE">
        <w:tc>
          <w:tcPr>
            <w:tcW w:w="5104" w:type="dxa"/>
          </w:tcPr>
          <w:p w14:paraId="25990DB1" w14:textId="45B3EC46" w:rsidR="00477C89" w:rsidRPr="003A272C" w:rsidRDefault="00477C89" w:rsidP="00477C89">
            <w:pPr>
              <w:pStyle w:val="Lijstalinea"/>
              <w:numPr>
                <w:ilvl w:val="0"/>
                <w:numId w:val="8"/>
              </w:numPr>
              <w:tabs>
                <w:tab w:val="left" w:pos="4468"/>
                <w:tab w:val="left" w:pos="5643"/>
                <w:tab w:val="left" w:pos="9747"/>
              </w:tabs>
              <w:spacing w:after="0" w:line="240" w:lineRule="auto"/>
              <w:ind w:left="396"/>
              <w:jc w:val="both"/>
              <w:rPr>
                <w:rFonts w:ascii="Arial" w:hAnsi="Arial" w:cs="Arial"/>
                <w:lang w:val="fr-FR"/>
              </w:rPr>
            </w:pPr>
            <w:r w:rsidRPr="003A272C">
              <w:rPr>
                <w:rFonts w:ascii="Arial" w:hAnsi="Arial" w:cs="Arial"/>
                <w:lang w:val="fr-FR"/>
              </w:rPr>
              <w:t>L'interdiction des suppléments pour les dispensateur</w:t>
            </w:r>
            <w:r>
              <w:rPr>
                <w:rFonts w:ascii="Arial" w:hAnsi="Arial" w:cs="Arial"/>
                <w:lang w:val="fr-FR"/>
              </w:rPr>
              <w:t>s</w:t>
            </w:r>
            <w:r w:rsidRPr="003A272C">
              <w:rPr>
                <w:rFonts w:ascii="Arial" w:hAnsi="Arial" w:cs="Arial"/>
                <w:lang w:val="fr-FR"/>
              </w:rPr>
              <w:t xml:space="preserve"> de soins qui n'ont pas informé préalablement les bénéficiaires de la non-adhésion aux accords (cf. article 73, §</w:t>
            </w:r>
            <w:r>
              <w:rPr>
                <w:rFonts w:ascii="Arial" w:hAnsi="Arial" w:cs="Arial"/>
                <w:lang w:val="fr-FR"/>
              </w:rPr>
              <w:t xml:space="preserve"> </w:t>
            </w:r>
            <w:r w:rsidRPr="003A272C">
              <w:rPr>
                <w:rFonts w:ascii="Arial" w:hAnsi="Arial" w:cs="Arial"/>
                <w:lang w:val="fr-FR"/>
              </w:rPr>
              <w:t>1</w:t>
            </w:r>
            <w:r w:rsidRPr="00E10784">
              <w:rPr>
                <w:rFonts w:ascii="Arial" w:hAnsi="Arial" w:cs="Arial"/>
                <w:vertAlign w:val="superscript"/>
                <w:lang w:val="fr-FR"/>
              </w:rPr>
              <w:t>er</w:t>
            </w:r>
            <w:r w:rsidRPr="003A272C">
              <w:rPr>
                <w:rFonts w:ascii="Arial" w:hAnsi="Arial" w:cs="Arial"/>
                <w:lang w:val="fr-FR"/>
              </w:rPr>
              <w:t>, de la loi GVU)</w:t>
            </w:r>
          </w:p>
        </w:tc>
        <w:tc>
          <w:tcPr>
            <w:tcW w:w="5104" w:type="dxa"/>
          </w:tcPr>
          <w:p w14:paraId="7BAEFEE9" w14:textId="77777777" w:rsidR="00477C89" w:rsidRPr="003A272C" w:rsidRDefault="00477C89" w:rsidP="00477C89">
            <w:pPr>
              <w:pStyle w:val="Lijstalinea"/>
              <w:numPr>
                <w:ilvl w:val="0"/>
                <w:numId w:val="9"/>
              </w:numPr>
              <w:tabs>
                <w:tab w:val="left" w:pos="4468"/>
                <w:tab w:val="left" w:pos="5643"/>
                <w:tab w:val="left" w:pos="9747"/>
              </w:tabs>
              <w:spacing w:after="0" w:line="240" w:lineRule="auto"/>
              <w:ind w:left="394"/>
              <w:jc w:val="both"/>
              <w:rPr>
                <w:rFonts w:ascii="Arial" w:hAnsi="Arial" w:cs="Arial"/>
                <w:lang w:val="nl-NL"/>
              </w:rPr>
            </w:pPr>
            <w:r w:rsidRPr="003A272C">
              <w:rPr>
                <w:rFonts w:ascii="Arial" w:hAnsi="Arial" w:cs="Arial"/>
                <w:lang w:val="nl-NL"/>
              </w:rPr>
              <w:t>Het verbod op supplementen voor zorgverleners die de rechthebbenden niet vooraf geïnformeerd hebben over de niet-toetreding tot de akkoorden (cfr. artikel 73, § 1, van de GVU-wet)</w:t>
            </w:r>
          </w:p>
        </w:tc>
      </w:tr>
      <w:tr w:rsidR="00477C89" w:rsidRPr="00A827F1" w14:paraId="13FEDDF1" w14:textId="77777777" w:rsidTr="005F50EE">
        <w:tc>
          <w:tcPr>
            <w:tcW w:w="5104" w:type="dxa"/>
          </w:tcPr>
          <w:p w14:paraId="69761868"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2933255"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CE7582A" w14:textId="77777777" w:rsidTr="005F50EE">
        <w:tc>
          <w:tcPr>
            <w:tcW w:w="5104" w:type="dxa"/>
          </w:tcPr>
          <w:p w14:paraId="33953228" w14:textId="02D7EBA2" w:rsidR="00477C89" w:rsidRPr="003A272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En outre, d'autres conditions pour la facturation de suppléments, telles que celles mentionnées à l'article 152 de la loi coordonnée sur les hôpitaux et dans l'arrêté royal du 24 octobre 2017 portant exécution de l'article 73, § 1</w:t>
            </w:r>
            <w:r w:rsidRPr="00E10784">
              <w:rPr>
                <w:rFonts w:ascii="Arial" w:hAnsi="Arial" w:cs="Arial"/>
                <w:vertAlign w:val="superscript"/>
                <w:lang w:val="fr-FR"/>
              </w:rPr>
              <w:t>er</w:t>
            </w:r>
            <w:r w:rsidRPr="006214BC">
              <w:rPr>
                <w:rFonts w:ascii="Arial" w:hAnsi="Arial" w:cs="Arial"/>
                <w:lang w:val="fr-FR"/>
              </w:rPr>
              <w:t>/1, de la loi relative à l'assurance obligatoire des soins de santé et indemnités coordonnée le 14 juillet 1994 pour les prestations de biologie clinique, d'anatomie pathologique et de génétique, sans préjudice des dispositions en vigueur.</w:t>
            </w:r>
          </w:p>
        </w:tc>
        <w:tc>
          <w:tcPr>
            <w:tcW w:w="5104" w:type="dxa"/>
          </w:tcPr>
          <w:p w14:paraId="7DB1E692"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Daarnaast blijven andere voorwaarden voor het aanrekenen van supplementen zoals o.a. vermeld in het artikel 152 van de gecoördineerde ziekenhuiswet en het koninklijk besluit van 24 oktober 2017 tot uitvoering van het artikel 73, § 1/1 van de wet betreffende de verplichte verzekering voor geneeskundige verzorging en uitkeringen gecoördineerd op 14 juli 1994 voor de verstrekkingen klinische biologie, pathologische anatomie en genetica, onverminderd gelden. </w:t>
            </w:r>
          </w:p>
        </w:tc>
      </w:tr>
      <w:tr w:rsidR="00477C89" w:rsidRPr="00A827F1" w14:paraId="142AC341" w14:textId="77777777" w:rsidTr="005F50EE">
        <w:tc>
          <w:tcPr>
            <w:tcW w:w="5104" w:type="dxa"/>
          </w:tcPr>
          <w:p w14:paraId="422E171A"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D39241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0C57389" w14:textId="77777777" w:rsidTr="005F50EE">
        <w:tc>
          <w:tcPr>
            <w:tcW w:w="5104" w:type="dxa"/>
          </w:tcPr>
          <w:p w14:paraId="479144F1" w14:textId="77777777"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Si la facturation de suppléments est autorisée entre autres par les dispositions susmentionnées, alors la facturation de suppléments est soumise aux limitations fixées par le présent projet.</w:t>
            </w:r>
          </w:p>
          <w:p w14:paraId="2B0EB176" w14:textId="77777777" w:rsidR="00477C89" w:rsidRPr="003A272C"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6DBAC286"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AA734B">
              <w:rPr>
                <w:rFonts w:ascii="Arial" w:hAnsi="Arial" w:cs="Arial"/>
                <w:lang w:val="nl-NL"/>
              </w:rPr>
              <w:t>Indien het aanrekenen van supplementen toegelaten is door onder andere bovenvermelde bepalingen, dan is het aanrekenen van supplementen onderworpen aan de beperkingen vastgesteld door dit ontwerp.</w:t>
            </w:r>
          </w:p>
        </w:tc>
      </w:tr>
      <w:tr w:rsidR="00477C89" w:rsidRPr="00A827F1" w14:paraId="26AE0FCA" w14:textId="77777777" w:rsidTr="005F50EE">
        <w:tc>
          <w:tcPr>
            <w:tcW w:w="5104" w:type="dxa"/>
          </w:tcPr>
          <w:p w14:paraId="21EE1521"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5AD5BF8"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FE42AD" w14:paraId="0D0B9166" w14:textId="77777777" w:rsidTr="005F50EE">
        <w:tc>
          <w:tcPr>
            <w:tcW w:w="5104" w:type="dxa"/>
          </w:tcPr>
          <w:p w14:paraId="7DE7458B" w14:textId="1CF2B1B3" w:rsidR="00477C89" w:rsidRPr="0096376B" w:rsidRDefault="00477C89" w:rsidP="00477C89">
            <w:pPr>
              <w:tabs>
                <w:tab w:val="left" w:pos="4468"/>
                <w:tab w:val="left" w:pos="5643"/>
                <w:tab w:val="left" w:pos="9747"/>
              </w:tabs>
              <w:spacing w:after="0" w:line="240" w:lineRule="auto"/>
              <w:jc w:val="both"/>
              <w:rPr>
                <w:rFonts w:ascii="Arial" w:hAnsi="Arial" w:cs="Arial"/>
                <w:u w:val="single"/>
                <w:lang w:val="fr-FR"/>
              </w:rPr>
            </w:pPr>
            <w:r w:rsidRPr="0096376B">
              <w:rPr>
                <w:rFonts w:ascii="Arial" w:hAnsi="Arial" w:cs="Arial"/>
                <w:u w:val="single"/>
                <w:lang w:val="fr-FR"/>
              </w:rPr>
              <w:t>La notion de supplément maximal</w:t>
            </w:r>
          </w:p>
        </w:tc>
        <w:tc>
          <w:tcPr>
            <w:tcW w:w="5104" w:type="dxa"/>
          </w:tcPr>
          <w:p w14:paraId="2C63D5BD" w14:textId="5646CFCE" w:rsidR="00477C89" w:rsidRPr="0007108A" w:rsidRDefault="00477C89" w:rsidP="00477C89">
            <w:pPr>
              <w:tabs>
                <w:tab w:val="left" w:pos="4468"/>
                <w:tab w:val="left" w:pos="5643"/>
                <w:tab w:val="left" w:pos="9747"/>
              </w:tabs>
              <w:spacing w:after="0" w:line="240" w:lineRule="auto"/>
              <w:jc w:val="both"/>
              <w:rPr>
                <w:rFonts w:ascii="Arial" w:hAnsi="Arial" w:cs="Arial"/>
                <w:u w:val="single"/>
                <w:lang w:val="nl-NL"/>
              </w:rPr>
            </w:pPr>
            <w:r w:rsidRPr="0007108A">
              <w:rPr>
                <w:rFonts w:ascii="Arial" w:hAnsi="Arial" w:cs="Arial"/>
                <w:u w:val="single"/>
                <w:lang w:val="nl-NL"/>
              </w:rPr>
              <w:t>Het begrip maximumsupplement</w:t>
            </w:r>
          </w:p>
        </w:tc>
      </w:tr>
      <w:tr w:rsidR="00477C89" w:rsidRPr="00FE42AD" w14:paraId="4EBD8BA4" w14:textId="77777777" w:rsidTr="005F50EE">
        <w:tc>
          <w:tcPr>
            <w:tcW w:w="5104" w:type="dxa"/>
          </w:tcPr>
          <w:p w14:paraId="69F349A4"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55D1363"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821C887" w14:textId="77777777" w:rsidTr="005F50EE">
        <w:tc>
          <w:tcPr>
            <w:tcW w:w="5104" w:type="dxa"/>
          </w:tcPr>
          <w:p w14:paraId="06116F6A" w14:textId="07DFEB8F"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r w:rsidRPr="0096376B">
              <w:rPr>
                <w:rFonts w:ascii="Arial" w:hAnsi="Arial" w:cs="Arial"/>
                <w:lang w:val="fr-FR"/>
              </w:rPr>
              <w:t xml:space="preserve">Les arrondis visés aux articles VI.7/1 et VI.7/2 du Code de droit économique et les </w:t>
            </w:r>
            <w:r>
              <w:rPr>
                <w:rFonts w:ascii="Arial" w:hAnsi="Arial" w:cs="Arial"/>
                <w:lang w:val="fr-FR"/>
              </w:rPr>
              <w:t>tarifs indicatifs (</w:t>
            </w:r>
            <w:r w:rsidRPr="0096376B">
              <w:rPr>
                <w:rFonts w:ascii="Arial" w:hAnsi="Arial" w:cs="Arial"/>
                <w:lang w:val="fr-FR"/>
              </w:rPr>
              <w:t xml:space="preserve">dépassements maximaux autorisés des honoraires et des prix) dans le cadre des accords ne sont pas considérés comme des suppléments. </w:t>
            </w:r>
            <w:r w:rsidRPr="00716E87">
              <w:rPr>
                <w:rFonts w:ascii="Arial" w:hAnsi="Arial" w:cs="Arial"/>
                <w:lang w:val="fr-FR"/>
              </w:rPr>
              <w:t>La marge de délivrance prévue dans la convention nationale entre les fournisseurs d'implants et les organismes assureurs, ainsi que le supplément facturé au bénéficiaire au titre de marge de sécurité, telle que visée à l'article 35septies/1, § 2, alinéa 2, 5°, et § 4, alinéa 2, de la loi SSI, ne sont pas non plus considérés comme un supplément.</w:t>
            </w:r>
          </w:p>
        </w:tc>
        <w:tc>
          <w:tcPr>
            <w:tcW w:w="5104" w:type="dxa"/>
          </w:tcPr>
          <w:p w14:paraId="65EBF4F8" w14:textId="18FF36B1"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De afronding zoals bedoeld in de artikelen VI.7/1 en VI.7/2 van het Wetboek Economisch Recht en </w:t>
            </w:r>
            <w:r>
              <w:rPr>
                <w:rFonts w:ascii="Arial" w:hAnsi="Arial" w:cs="Arial"/>
                <w:lang w:val="nl-NL"/>
              </w:rPr>
              <w:t>de richttarieven (</w:t>
            </w:r>
            <w:r w:rsidRPr="00FE42AD">
              <w:rPr>
                <w:rFonts w:ascii="Arial" w:hAnsi="Arial" w:cs="Arial"/>
                <w:lang w:val="nl-NL"/>
              </w:rPr>
              <w:t xml:space="preserve">de </w:t>
            </w:r>
            <w:r w:rsidRPr="00CA581E">
              <w:rPr>
                <w:rFonts w:ascii="Arial" w:hAnsi="Arial" w:cs="Arial"/>
                <w:lang w:val="nl-NL"/>
              </w:rPr>
              <w:t>in het kader van de akkoorden</w:t>
            </w:r>
            <w:r w:rsidRPr="00FE42AD">
              <w:rPr>
                <w:rFonts w:ascii="Arial" w:hAnsi="Arial" w:cs="Arial"/>
                <w:lang w:val="nl-NL"/>
              </w:rPr>
              <w:t xml:space="preserve"> toegestane maximale overschrijdingen van honoraria en prijzen</w:t>
            </w:r>
            <w:r>
              <w:rPr>
                <w:rFonts w:ascii="Arial" w:hAnsi="Arial" w:cs="Arial"/>
                <w:lang w:val="nl-NL"/>
              </w:rPr>
              <w:t xml:space="preserve">) </w:t>
            </w:r>
            <w:r w:rsidRPr="00FE42AD">
              <w:rPr>
                <w:rFonts w:ascii="Arial" w:hAnsi="Arial" w:cs="Arial"/>
                <w:lang w:val="nl-NL"/>
              </w:rPr>
              <w:t xml:space="preserve">worden niet beschouwd als supplementen. </w:t>
            </w:r>
            <w:r w:rsidRPr="00716E87">
              <w:rPr>
                <w:lang w:val="nl-NL"/>
              </w:rPr>
              <w:t xml:space="preserve"> </w:t>
            </w:r>
            <w:r w:rsidRPr="00716E87">
              <w:rPr>
                <w:rFonts w:ascii="Arial" w:hAnsi="Arial" w:cs="Arial"/>
                <w:lang w:val="nl-NL"/>
              </w:rPr>
              <w:t>De afleveringsmarge bedoeld in de nationale overeenkomst tussen de verstrekkers van implantaten en de verzekeringsinstellingen, en het supplement dat aan de rechthebbende wordt aangerekend als veiligheidsgrens, zoals bedoeld in artikel 35septies/1, § 2, tweede lid, 5°, en § 4, tweede lid, van de GVU-wet, worden ook niet als supplement beschouwd.</w:t>
            </w:r>
          </w:p>
        </w:tc>
      </w:tr>
      <w:tr w:rsidR="00477C89" w:rsidRPr="00A827F1" w14:paraId="150DA192" w14:textId="77777777" w:rsidTr="005F50EE">
        <w:tc>
          <w:tcPr>
            <w:tcW w:w="5104" w:type="dxa"/>
          </w:tcPr>
          <w:p w14:paraId="22B1837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F0D8756"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0014688" w14:textId="77777777" w:rsidTr="005F50EE">
        <w:tc>
          <w:tcPr>
            <w:tcW w:w="5104" w:type="dxa"/>
          </w:tcPr>
          <w:p w14:paraId="49D883CA" w14:textId="23186E1A" w:rsidR="00477C89" w:rsidRPr="00E417A8" w:rsidRDefault="00477C89" w:rsidP="00477C89">
            <w:pPr>
              <w:tabs>
                <w:tab w:val="left" w:pos="4468"/>
                <w:tab w:val="left" w:pos="5643"/>
                <w:tab w:val="left" w:pos="9747"/>
              </w:tabs>
              <w:spacing w:after="0" w:line="240" w:lineRule="auto"/>
              <w:jc w:val="both"/>
              <w:rPr>
                <w:rFonts w:ascii="Arial" w:hAnsi="Arial" w:cs="Arial"/>
                <w:lang w:val="fr-FR"/>
              </w:rPr>
            </w:pPr>
            <w:r w:rsidRPr="00E417A8">
              <w:rPr>
                <w:rFonts w:ascii="Arial" w:hAnsi="Arial" w:cs="Arial"/>
                <w:lang w:val="fr-FR"/>
              </w:rPr>
              <w:t>La majoration dans les cas d’exigences particulières du bénéficiaire, telles qu’établies dans les accords sont considérés comme supplément pour l’application de la présente disposition. Dans la circonstance où un dispensateur de soins conventionné facture de</w:t>
            </w:r>
            <w:r>
              <w:rPr>
                <w:rFonts w:ascii="Arial" w:hAnsi="Arial" w:cs="Arial"/>
                <w:lang w:val="fr-FR"/>
              </w:rPr>
              <w:t>s</w:t>
            </w:r>
            <w:r w:rsidRPr="00E417A8">
              <w:rPr>
                <w:rFonts w:ascii="Arial" w:hAnsi="Arial" w:cs="Arial"/>
                <w:lang w:val="fr-FR"/>
              </w:rPr>
              <w:t xml:space="preserve"> suppléments, le supplément maximal s’applique également au</w:t>
            </w:r>
            <w:r>
              <w:rPr>
                <w:rFonts w:ascii="Arial" w:hAnsi="Arial" w:cs="Arial"/>
                <w:lang w:val="fr-FR"/>
              </w:rPr>
              <w:t>x</w:t>
            </w:r>
            <w:r w:rsidRPr="00E417A8">
              <w:rPr>
                <w:rFonts w:ascii="Arial" w:hAnsi="Arial" w:cs="Arial"/>
                <w:lang w:val="fr-FR"/>
              </w:rPr>
              <w:t xml:space="preserve"> dispensateurs de soins conventionnés.</w:t>
            </w:r>
          </w:p>
        </w:tc>
        <w:tc>
          <w:tcPr>
            <w:tcW w:w="5104" w:type="dxa"/>
          </w:tcPr>
          <w:p w14:paraId="1244AF2F" w14:textId="7B44A5C5"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De </w:t>
            </w:r>
            <w:r>
              <w:rPr>
                <w:rFonts w:ascii="Arial" w:hAnsi="Arial" w:cs="Arial"/>
                <w:lang w:val="nl-NL"/>
              </w:rPr>
              <w:t>toeslag</w:t>
            </w:r>
            <w:r w:rsidRPr="00FE42AD">
              <w:rPr>
                <w:rFonts w:ascii="Arial" w:hAnsi="Arial" w:cs="Arial"/>
                <w:lang w:val="nl-NL"/>
              </w:rPr>
              <w:t xml:space="preserve"> </w:t>
            </w:r>
            <w:r>
              <w:rPr>
                <w:rFonts w:ascii="Arial" w:hAnsi="Arial" w:cs="Arial"/>
                <w:lang w:val="nl-NL"/>
              </w:rPr>
              <w:t>in geval van</w:t>
            </w:r>
            <w:r w:rsidRPr="00FE42AD">
              <w:rPr>
                <w:rFonts w:ascii="Arial" w:hAnsi="Arial" w:cs="Arial"/>
                <w:lang w:val="nl-NL"/>
              </w:rPr>
              <w:t xml:space="preserve"> bijzondere eisen</w:t>
            </w:r>
            <w:r w:rsidRPr="00CA581E">
              <w:rPr>
                <w:rFonts w:ascii="Arial" w:hAnsi="Arial" w:cs="Arial"/>
                <w:lang w:val="nl-NL"/>
              </w:rPr>
              <w:t xml:space="preserve"> van de rechthebbende, </w:t>
            </w:r>
            <w:r w:rsidRPr="00FE42AD">
              <w:rPr>
                <w:rFonts w:ascii="Arial" w:hAnsi="Arial" w:cs="Arial"/>
                <w:lang w:val="nl-NL"/>
              </w:rPr>
              <w:t>zoals vastgesteld</w:t>
            </w:r>
            <w:r>
              <w:rPr>
                <w:rFonts w:ascii="Arial" w:hAnsi="Arial" w:cs="Arial"/>
                <w:lang w:val="nl-NL"/>
              </w:rPr>
              <w:t xml:space="preserve"> </w:t>
            </w:r>
            <w:r w:rsidRPr="00CA581E">
              <w:rPr>
                <w:rFonts w:ascii="Arial" w:hAnsi="Arial" w:cs="Arial"/>
                <w:lang w:val="nl-NL"/>
              </w:rPr>
              <w:t>in de akkoorden</w:t>
            </w:r>
            <w:r>
              <w:rPr>
                <w:rFonts w:ascii="Arial" w:hAnsi="Arial" w:cs="Arial"/>
                <w:lang w:val="nl-NL"/>
              </w:rPr>
              <w:t xml:space="preserve">, </w:t>
            </w:r>
            <w:r w:rsidRPr="00FE42AD">
              <w:rPr>
                <w:rFonts w:ascii="Arial" w:hAnsi="Arial" w:cs="Arial"/>
                <w:lang w:val="nl-NL"/>
              </w:rPr>
              <w:t xml:space="preserve">worden voor de toepassing van deze bepaling wel als supplement beschouwd. In de omstandigheid dat een geconventioneerde zorgverlener </w:t>
            </w:r>
            <w:r>
              <w:rPr>
                <w:rFonts w:ascii="Arial" w:hAnsi="Arial" w:cs="Arial"/>
                <w:lang w:val="nl-NL"/>
              </w:rPr>
              <w:t>supplementen</w:t>
            </w:r>
            <w:r w:rsidRPr="00FE42AD">
              <w:rPr>
                <w:rFonts w:ascii="Arial" w:hAnsi="Arial" w:cs="Arial"/>
                <w:lang w:val="nl-NL"/>
              </w:rPr>
              <w:t xml:space="preserve"> aanrekent, is het maximumsupplement eveneens van toepassing op geconventioneerde zorgverleners.</w:t>
            </w:r>
          </w:p>
        </w:tc>
      </w:tr>
      <w:tr w:rsidR="00477C89" w:rsidRPr="00A827F1" w14:paraId="20284F8A" w14:textId="77777777" w:rsidTr="005F50EE">
        <w:tc>
          <w:tcPr>
            <w:tcW w:w="5104" w:type="dxa"/>
          </w:tcPr>
          <w:p w14:paraId="7C51CD7D"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9453C54"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671DC6" w14:paraId="5C8505BA" w14:textId="77777777" w:rsidTr="005F50EE">
        <w:tc>
          <w:tcPr>
            <w:tcW w:w="5104" w:type="dxa"/>
          </w:tcPr>
          <w:p w14:paraId="36915C79" w14:textId="32B493F2" w:rsidR="00477C89" w:rsidRPr="006214BC" w:rsidRDefault="00477C89" w:rsidP="00477C89">
            <w:pPr>
              <w:tabs>
                <w:tab w:val="left" w:pos="4468"/>
                <w:tab w:val="left" w:pos="5643"/>
                <w:tab w:val="left" w:pos="9747"/>
              </w:tabs>
              <w:spacing w:after="0" w:line="240" w:lineRule="auto"/>
              <w:jc w:val="both"/>
              <w:rPr>
                <w:rFonts w:ascii="Arial" w:hAnsi="Arial" w:cs="Arial"/>
                <w:u w:val="single"/>
                <w:lang w:val="fr-FR"/>
              </w:rPr>
            </w:pPr>
            <w:r w:rsidRPr="006214BC">
              <w:rPr>
                <w:rFonts w:ascii="Arial" w:hAnsi="Arial" w:cs="Arial"/>
                <w:u w:val="single"/>
                <w:lang w:val="fr-FR"/>
              </w:rPr>
              <w:lastRenderedPageBreak/>
              <w:t xml:space="preserve">Compétence au Roi </w:t>
            </w:r>
          </w:p>
        </w:tc>
        <w:tc>
          <w:tcPr>
            <w:tcW w:w="5104" w:type="dxa"/>
          </w:tcPr>
          <w:p w14:paraId="01956D0C" w14:textId="549C8055" w:rsidR="00477C89" w:rsidRPr="0007108A" w:rsidRDefault="00477C89" w:rsidP="00477C89">
            <w:pPr>
              <w:tabs>
                <w:tab w:val="left" w:pos="4468"/>
                <w:tab w:val="left" w:pos="5643"/>
                <w:tab w:val="left" w:pos="9747"/>
              </w:tabs>
              <w:spacing w:after="0" w:line="240" w:lineRule="auto"/>
              <w:jc w:val="both"/>
              <w:rPr>
                <w:rFonts w:ascii="Arial" w:hAnsi="Arial" w:cs="Arial"/>
                <w:u w:val="single"/>
                <w:lang w:val="nl-NL"/>
              </w:rPr>
            </w:pPr>
            <w:r w:rsidRPr="0007108A">
              <w:rPr>
                <w:rFonts w:ascii="Arial" w:hAnsi="Arial" w:cs="Arial"/>
                <w:u w:val="single"/>
                <w:lang w:val="nl-NL"/>
              </w:rPr>
              <w:t xml:space="preserve">Bevoegdheid van de Koning </w:t>
            </w:r>
          </w:p>
        </w:tc>
      </w:tr>
      <w:tr w:rsidR="00477C89" w:rsidRPr="00671DC6" w14:paraId="79A150DF" w14:textId="77777777" w:rsidTr="005F50EE">
        <w:tc>
          <w:tcPr>
            <w:tcW w:w="5104" w:type="dxa"/>
          </w:tcPr>
          <w:p w14:paraId="78796EA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59754E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782AF9D" w14:textId="77777777" w:rsidTr="005F50EE">
        <w:tc>
          <w:tcPr>
            <w:tcW w:w="5104" w:type="dxa"/>
          </w:tcPr>
          <w:p w14:paraId="45E3DC42" w14:textId="796F1F67" w:rsidR="001246E7" w:rsidRDefault="00477C89" w:rsidP="00671DC6">
            <w:pPr>
              <w:tabs>
                <w:tab w:val="left" w:pos="4468"/>
                <w:tab w:val="left" w:pos="5643"/>
                <w:tab w:val="left" w:pos="9747"/>
              </w:tabs>
              <w:spacing w:after="0" w:line="240" w:lineRule="auto"/>
              <w:jc w:val="both"/>
              <w:rPr>
                <w:rFonts w:ascii="Arial" w:hAnsi="Arial" w:cs="Arial"/>
                <w:lang w:val="fr-BE"/>
              </w:rPr>
            </w:pPr>
            <w:r w:rsidRPr="006214BC">
              <w:rPr>
                <w:rFonts w:ascii="Arial" w:hAnsi="Arial" w:cs="Arial"/>
                <w:lang w:val="fr-FR"/>
              </w:rPr>
              <w:t xml:space="preserve">Le Roi </w:t>
            </w:r>
            <w:r w:rsidR="00B91AEA">
              <w:rPr>
                <w:rFonts w:ascii="Arial" w:hAnsi="Arial" w:cs="Arial"/>
                <w:lang w:val="fr-FR"/>
              </w:rPr>
              <w:t>fixe</w:t>
            </w:r>
            <w:r w:rsidR="00B97185">
              <w:rPr>
                <w:rFonts w:ascii="Arial" w:hAnsi="Arial" w:cs="Arial"/>
                <w:lang w:val="fr-FR"/>
              </w:rPr>
              <w:t xml:space="preserve">, </w:t>
            </w:r>
            <w:r w:rsidR="00671DC6" w:rsidRPr="00671DC6">
              <w:rPr>
                <w:rFonts w:ascii="Arial" w:hAnsi="Arial" w:cs="Arial"/>
                <w:lang w:val="fr-FR"/>
              </w:rPr>
              <w:t>sur proposition de la commission d’accord concernée</w:t>
            </w:r>
            <w:r w:rsidR="00671DC6">
              <w:rPr>
                <w:rFonts w:ascii="Arial" w:hAnsi="Arial" w:cs="Arial"/>
                <w:lang w:val="fr-FR"/>
              </w:rPr>
              <w:t>,</w:t>
            </w:r>
            <w:r w:rsidR="00671DC6" w:rsidRPr="00671DC6">
              <w:rPr>
                <w:rFonts w:ascii="Arial" w:hAnsi="Arial" w:cs="Arial"/>
                <w:lang w:val="fr-FR"/>
              </w:rPr>
              <w:t xml:space="preserve"> </w:t>
            </w:r>
            <w:r w:rsidR="00B91AEA" w:rsidRPr="00B91AEA">
              <w:rPr>
                <w:rFonts w:ascii="Arial" w:hAnsi="Arial" w:cs="Arial"/>
                <w:lang w:val="fr-FR"/>
              </w:rPr>
              <w:t xml:space="preserve">pour autant que cette commission existe pour la profession concernée et qu’elle ait soumis une proposition, </w:t>
            </w:r>
            <w:r w:rsidR="00B97185">
              <w:rPr>
                <w:rFonts w:ascii="Arial" w:hAnsi="Arial" w:cs="Arial"/>
                <w:lang w:val="fr-FR"/>
              </w:rPr>
              <w:t>par un arrêté délibéré en Conseil des ministres,</w:t>
            </w:r>
            <w:r w:rsidRPr="006214BC">
              <w:rPr>
                <w:rFonts w:ascii="Arial" w:hAnsi="Arial" w:cs="Arial"/>
                <w:lang w:val="fr-FR"/>
              </w:rPr>
              <w:t xml:space="preserve"> un supplément maximal</w:t>
            </w:r>
            <w:r w:rsidR="00E4544A">
              <w:rPr>
                <w:rFonts w:ascii="Arial" w:hAnsi="Arial" w:cs="Arial"/>
                <w:lang w:val="fr-FR"/>
              </w:rPr>
              <w:t xml:space="preserve">, au plus tard le </w:t>
            </w:r>
            <w:r w:rsidR="00F13A1D">
              <w:rPr>
                <w:rFonts w:ascii="Arial" w:hAnsi="Arial" w:cs="Arial"/>
                <w:lang w:val="fr-FR"/>
              </w:rPr>
              <w:t>premier janvier 2028</w:t>
            </w:r>
            <w:r w:rsidR="00E4544A">
              <w:rPr>
                <w:rFonts w:ascii="Arial" w:hAnsi="Arial" w:cs="Arial"/>
                <w:lang w:val="fr-FR"/>
              </w:rPr>
              <w:t xml:space="preserve"> </w:t>
            </w:r>
            <w:r w:rsidRPr="006214BC">
              <w:rPr>
                <w:rFonts w:ascii="Arial" w:hAnsi="Arial" w:cs="Arial"/>
                <w:lang w:val="fr-FR"/>
              </w:rPr>
              <w:t xml:space="preserve">. </w:t>
            </w:r>
            <w:r w:rsidR="00BF2A92" w:rsidRPr="00BF2A92">
              <w:rPr>
                <w:rFonts w:ascii="Arial" w:hAnsi="Arial" w:cs="Arial"/>
                <w:lang w:val="fr-BE"/>
              </w:rPr>
              <w:t>Si une commission des accords a conclu un accord au plus tard le 31 juillet 2027, celui-ci sera respecté.</w:t>
            </w:r>
            <w:r w:rsidR="00A443ED">
              <w:rPr>
                <w:rFonts w:ascii="Arial" w:hAnsi="Arial" w:cs="Arial"/>
                <w:lang w:val="fr-BE"/>
              </w:rPr>
              <w:t xml:space="preserve"> </w:t>
            </w:r>
            <w:r w:rsidR="00EF4F7A" w:rsidRPr="00BF2A92">
              <w:rPr>
                <w:rFonts w:ascii="Arial" w:hAnsi="Arial" w:cs="Arial"/>
                <w:lang w:val="fr-BE"/>
              </w:rPr>
              <w:t xml:space="preserve">Pour ce faire, </w:t>
            </w:r>
            <w:r w:rsidR="00A443ED">
              <w:rPr>
                <w:rFonts w:ascii="Arial" w:hAnsi="Arial" w:cs="Arial"/>
                <w:lang w:val="fr-BE"/>
              </w:rPr>
              <w:t>les commissions d’accords</w:t>
            </w:r>
            <w:r w:rsidR="00EF4F7A" w:rsidRPr="00BF2A92">
              <w:rPr>
                <w:rFonts w:ascii="Arial" w:hAnsi="Arial" w:cs="Arial"/>
                <w:lang w:val="fr-BE"/>
              </w:rPr>
              <w:t xml:space="preserve"> doivent se baser sur des données objectives et, le cas échéant, tenir compte de la réforme de la nomenclature.</w:t>
            </w:r>
            <w:r w:rsidR="00BF0917">
              <w:rPr>
                <w:rFonts w:ascii="Arial" w:hAnsi="Arial" w:cs="Arial"/>
                <w:lang w:val="fr-BE"/>
              </w:rPr>
              <w:t xml:space="preserve"> </w:t>
            </w:r>
            <w:r w:rsidR="00EE4AB3">
              <w:rPr>
                <w:rFonts w:ascii="Arial" w:hAnsi="Arial" w:cs="Arial"/>
                <w:lang w:val="fr-BE"/>
              </w:rPr>
              <w:t>A défaut d’accord conclu au sein de la commission d’accord compétente, l</w:t>
            </w:r>
            <w:r w:rsidR="000813EB" w:rsidRPr="000813EB">
              <w:rPr>
                <w:rFonts w:ascii="Arial" w:hAnsi="Arial" w:cs="Arial"/>
                <w:lang w:val="fr-BE"/>
              </w:rPr>
              <w:t>e pourcentage maximum sera fixé par arrêté royal délibéré en Conseil des ministres sur proposition du ministre des Affaires sociales et de la Santé publique.</w:t>
            </w:r>
            <w:r w:rsidR="008D633E">
              <w:rPr>
                <w:rFonts w:ascii="Arial" w:hAnsi="Arial" w:cs="Arial"/>
                <w:lang w:val="fr-BE"/>
              </w:rPr>
              <w:t xml:space="preserve"> </w:t>
            </w:r>
            <w:r w:rsidR="008D633E" w:rsidRPr="008D633E">
              <w:rPr>
                <w:rFonts w:ascii="Arial" w:hAnsi="Arial" w:cs="Arial"/>
                <w:lang w:val="fr-BE"/>
              </w:rPr>
              <w:t>Il prendra cette décision sur la base des informations disponibles concernant les suppléments d’honoraires facturés dans le secteur concerné au cours des cinq dernières années, avec pour principes principaux le plafonnement des excès et la prévention d’une spirale inflationniste. De cette manière, les objectifs de l’accord de gouvernement (limiter les suppléments d’honoraires dans tous les secteurs et lutter contre les excès) devront être atteints.</w:t>
            </w:r>
          </w:p>
          <w:p w14:paraId="748FE371" w14:textId="77777777" w:rsidR="001246E7" w:rsidRDefault="001246E7" w:rsidP="00671DC6">
            <w:pPr>
              <w:tabs>
                <w:tab w:val="left" w:pos="4468"/>
                <w:tab w:val="left" w:pos="5643"/>
                <w:tab w:val="left" w:pos="9747"/>
              </w:tabs>
              <w:spacing w:after="0" w:line="240" w:lineRule="auto"/>
              <w:jc w:val="both"/>
              <w:rPr>
                <w:rFonts w:ascii="Arial" w:hAnsi="Arial" w:cs="Arial"/>
                <w:lang w:val="fr-BE"/>
              </w:rPr>
            </w:pPr>
          </w:p>
          <w:p w14:paraId="3E91C781" w14:textId="77777777" w:rsidR="001246E7" w:rsidRDefault="001246E7" w:rsidP="00671DC6">
            <w:pPr>
              <w:tabs>
                <w:tab w:val="left" w:pos="4468"/>
                <w:tab w:val="left" w:pos="5643"/>
                <w:tab w:val="left" w:pos="9747"/>
              </w:tabs>
              <w:spacing w:after="0" w:line="240" w:lineRule="auto"/>
              <w:jc w:val="both"/>
              <w:rPr>
                <w:rFonts w:ascii="Arial" w:hAnsi="Arial" w:cs="Arial"/>
                <w:lang w:val="fr-BE"/>
              </w:rPr>
            </w:pPr>
          </w:p>
          <w:p w14:paraId="3FA9524F" w14:textId="14A1C5C7" w:rsidR="00477C89" w:rsidRPr="009B50C8" w:rsidRDefault="00477C89" w:rsidP="00671DC6">
            <w:pPr>
              <w:tabs>
                <w:tab w:val="left" w:pos="4468"/>
                <w:tab w:val="left" w:pos="5643"/>
                <w:tab w:val="left" w:pos="9747"/>
              </w:tabs>
              <w:spacing w:after="0" w:line="240" w:lineRule="auto"/>
              <w:jc w:val="both"/>
              <w:rPr>
                <w:rFonts w:ascii="Arial" w:hAnsi="Arial" w:cs="Arial"/>
                <w:lang w:val="fr-FR"/>
              </w:rPr>
            </w:pPr>
            <w:r w:rsidRPr="00E10784">
              <w:rPr>
                <w:rFonts w:ascii="Arial" w:hAnsi="Arial" w:cs="Arial"/>
                <w:lang w:val="fr-FR"/>
              </w:rPr>
              <w:t xml:space="preserve">Cette limitation des suppléments peut être fixée sur la base d’un plafond qui peut être un pourcentage maximal ou un montant maximal. </w:t>
            </w:r>
          </w:p>
        </w:tc>
        <w:tc>
          <w:tcPr>
            <w:tcW w:w="5104" w:type="dxa"/>
          </w:tcPr>
          <w:p w14:paraId="0AC9EED4" w14:textId="161C5660" w:rsidR="001246E7" w:rsidRPr="00127647" w:rsidRDefault="00477C89" w:rsidP="00477C89">
            <w:pPr>
              <w:tabs>
                <w:tab w:val="left" w:pos="4468"/>
                <w:tab w:val="left" w:pos="5643"/>
                <w:tab w:val="left" w:pos="9747"/>
              </w:tabs>
              <w:spacing w:after="0" w:line="240" w:lineRule="auto"/>
              <w:jc w:val="both"/>
              <w:rPr>
                <w:rFonts w:ascii="Arial" w:hAnsi="Arial" w:cs="Arial"/>
                <w:lang w:val="nl-BE"/>
              </w:rPr>
            </w:pPr>
            <w:r w:rsidRPr="00FE42AD">
              <w:rPr>
                <w:rFonts w:ascii="Arial" w:hAnsi="Arial" w:cs="Arial"/>
                <w:lang w:val="nl-NL"/>
              </w:rPr>
              <w:t xml:space="preserve">De Koning </w:t>
            </w:r>
            <w:r w:rsidR="00671DC6">
              <w:rPr>
                <w:rFonts w:ascii="Arial" w:hAnsi="Arial" w:cs="Arial"/>
                <w:lang w:val="nl-NL"/>
              </w:rPr>
              <w:t>stelt</w:t>
            </w:r>
            <w:r w:rsidR="00B97185">
              <w:rPr>
                <w:rFonts w:ascii="Arial" w:hAnsi="Arial" w:cs="Arial"/>
                <w:lang w:val="nl-NL"/>
              </w:rPr>
              <w:t>,</w:t>
            </w:r>
            <w:r w:rsidR="00672154" w:rsidRPr="00672154">
              <w:rPr>
                <w:rFonts w:ascii="Arial" w:hAnsi="Arial" w:cs="Arial"/>
                <w:lang w:val="nl-NL"/>
              </w:rPr>
              <w:t xml:space="preserve"> op voorstel van de betrokken akkoordencommissie voor zover deze commissie voor het betrokken beroep bestaat en een voorstel heeft neergelegd,</w:t>
            </w:r>
            <w:r w:rsidR="00B97185">
              <w:rPr>
                <w:rFonts w:ascii="Arial" w:hAnsi="Arial" w:cs="Arial"/>
                <w:lang w:val="nl-NL"/>
              </w:rPr>
              <w:t xml:space="preserve"> in een Ministerraad overlegd besluit,</w:t>
            </w:r>
            <w:r w:rsidRPr="00FE42AD">
              <w:rPr>
                <w:rFonts w:ascii="Arial" w:hAnsi="Arial" w:cs="Arial"/>
                <w:lang w:val="nl-NL"/>
              </w:rPr>
              <w:t xml:space="preserve"> een maximumsupplement vast</w:t>
            </w:r>
            <w:r w:rsidR="00E4544A">
              <w:rPr>
                <w:rFonts w:ascii="Arial" w:hAnsi="Arial" w:cs="Arial"/>
                <w:lang w:val="nl-NL"/>
              </w:rPr>
              <w:t xml:space="preserve"> uiterlijk tegen </w:t>
            </w:r>
            <w:r w:rsidR="00F13A1D">
              <w:rPr>
                <w:rFonts w:ascii="Arial" w:hAnsi="Arial" w:cs="Arial"/>
                <w:lang w:val="nl-NL"/>
              </w:rPr>
              <w:t>1 januari 2028</w:t>
            </w:r>
            <w:r w:rsidR="00E4544A">
              <w:rPr>
                <w:rFonts w:ascii="Arial" w:hAnsi="Arial" w:cs="Arial"/>
                <w:lang w:val="nl-NL"/>
              </w:rPr>
              <w:t>.</w:t>
            </w:r>
            <w:r w:rsidRPr="00FE42AD">
              <w:rPr>
                <w:rFonts w:ascii="Arial" w:hAnsi="Arial" w:cs="Arial"/>
                <w:lang w:val="nl-NL"/>
              </w:rPr>
              <w:t xml:space="preserve"> </w:t>
            </w:r>
            <w:r w:rsidR="001B1528">
              <w:rPr>
                <w:rFonts w:ascii="Arial" w:hAnsi="Arial" w:cs="Arial"/>
                <w:lang w:val="nl-NL"/>
              </w:rPr>
              <w:t xml:space="preserve">Indien </w:t>
            </w:r>
            <w:r w:rsidR="00535644">
              <w:rPr>
                <w:rFonts w:ascii="Arial" w:hAnsi="Arial" w:cs="Arial"/>
                <w:lang w:val="nl-NL"/>
              </w:rPr>
              <w:t xml:space="preserve">een akkoordencommissie een akkoord heeft gesloten uiterlijk tegen 31 juli 2027 zal dit gerespecteerd worden. </w:t>
            </w:r>
            <w:r w:rsidR="001B2A13">
              <w:rPr>
                <w:rFonts w:ascii="Arial" w:hAnsi="Arial" w:cs="Arial"/>
                <w:lang w:val="nl-NL"/>
              </w:rPr>
              <w:t>De akkoordencommissies</w:t>
            </w:r>
            <w:r w:rsidR="001B2A13" w:rsidRPr="001B2A13">
              <w:rPr>
                <w:rFonts w:ascii="Arial" w:hAnsi="Arial" w:cs="Arial"/>
                <w:lang w:val="nl-NL"/>
              </w:rPr>
              <w:t xml:space="preserve"> dienen zich hierbij te baseren op objectieve gegevens en -waar van toepassing- rekening te houden met de hervorming van de nomenclatuur.</w:t>
            </w:r>
            <w:r w:rsidR="003E4AF5">
              <w:rPr>
                <w:rFonts w:ascii="Arial" w:hAnsi="Arial" w:cs="Arial"/>
                <w:lang w:val="nl-NL"/>
              </w:rPr>
              <w:t xml:space="preserve"> Bij ontstentenis van een akkoord binnen de bevoegde akkoordencommissie, </w:t>
            </w:r>
            <w:r w:rsidR="001246E7">
              <w:rPr>
                <w:rFonts w:ascii="Arial" w:hAnsi="Arial" w:cs="Arial"/>
                <w:lang w:val="nl-NL"/>
              </w:rPr>
              <w:t>zal h</w:t>
            </w:r>
            <w:r w:rsidR="003E4AF5" w:rsidRPr="003E4AF5">
              <w:rPr>
                <w:rFonts w:ascii="Arial" w:hAnsi="Arial" w:cs="Arial"/>
                <w:lang w:val="nl-NL"/>
              </w:rPr>
              <w:t>et maximumpercentage worden vastgelegd bij een KB overlegd in ministerraad, op voorstel van de minister van Sociale Zaken en Volksgezondheid</w:t>
            </w:r>
            <w:r w:rsidR="00127647">
              <w:rPr>
                <w:rFonts w:ascii="Arial" w:hAnsi="Arial" w:cs="Arial"/>
                <w:lang w:val="nl-NL"/>
              </w:rPr>
              <w:t xml:space="preserve">. </w:t>
            </w:r>
            <w:r w:rsidR="00127647" w:rsidRPr="00127647">
              <w:rPr>
                <w:rFonts w:ascii="Arial" w:hAnsi="Arial" w:cs="Arial"/>
                <w:lang w:val="nl-BE"/>
              </w:rPr>
              <w:t xml:space="preserve">Ze zal deze beslissing nemen rekening houdend met de beschikbare informatie over de aangerekende ereloonsupplementen in de betrokken sector over de afgelopen 5 jaar; waarbij het aftoppen van excessen en het voorkomen van een inflatoire spiraal </w:t>
            </w:r>
            <w:r w:rsidR="00127647">
              <w:rPr>
                <w:rFonts w:ascii="Arial" w:hAnsi="Arial" w:cs="Arial"/>
                <w:lang w:val="nl-BE"/>
              </w:rPr>
              <w:t xml:space="preserve">de </w:t>
            </w:r>
            <w:r w:rsidR="00127647" w:rsidRPr="00127647">
              <w:rPr>
                <w:rFonts w:ascii="Arial" w:hAnsi="Arial" w:cs="Arial"/>
                <w:lang w:val="nl-BE"/>
              </w:rPr>
              <w:t>belangrijk</w:t>
            </w:r>
            <w:r w:rsidR="00127647">
              <w:rPr>
                <w:rFonts w:ascii="Arial" w:hAnsi="Arial" w:cs="Arial"/>
                <w:lang w:val="nl-BE"/>
              </w:rPr>
              <w:t>st</w:t>
            </w:r>
            <w:r w:rsidR="00127647" w:rsidRPr="00127647">
              <w:rPr>
                <w:rFonts w:ascii="Arial" w:hAnsi="Arial" w:cs="Arial"/>
                <w:lang w:val="nl-BE"/>
              </w:rPr>
              <w:t>e uitgangspunten zijn</w:t>
            </w:r>
            <w:r w:rsidR="00127647">
              <w:rPr>
                <w:rFonts w:ascii="Arial" w:hAnsi="Arial" w:cs="Arial"/>
                <w:lang w:val="nl-BE"/>
              </w:rPr>
              <w:t>.</w:t>
            </w:r>
            <w:r w:rsidR="001C7AC9">
              <w:rPr>
                <w:rFonts w:ascii="Arial" w:hAnsi="Arial" w:cs="Arial"/>
                <w:lang w:val="nl-BE"/>
              </w:rPr>
              <w:t xml:space="preserve"> </w:t>
            </w:r>
            <w:r w:rsidR="001C7AC9" w:rsidRPr="001C7AC9">
              <w:rPr>
                <w:rFonts w:ascii="Arial" w:hAnsi="Arial" w:cs="Arial"/>
                <w:lang w:val="nl-BE"/>
              </w:rPr>
              <w:t>Op d</w:t>
            </w:r>
            <w:r w:rsidR="001C7AC9">
              <w:rPr>
                <w:rFonts w:ascii="Arial" w:hAnsi="Arial" w:cs="Arial"/>
                <w:lang w:val="nl-BE"/>
              </w:rPr>
              <w:t>i</w:t>
            </w:r>
            <w:r w:rsidR="001C7AC9" w:rsidRPr="001C7AC9">
              <w:rPr>
                <w:rFonts w:ascii="Arial" w:hAnsi="Arial" w:cs="Arial"/>
                <w:lang w:val="nl-BE"/>
              </w:rPr>
              <w:t>e manier moeten de doelstellingen van het regeerakkoord (in alle sectoren de supplementen op erelonen beperken, en ook excessen bestrijden) gerealiseerd worden.</w:t>
            </w:r>
          </w:p>
          <w:p w14:paraId="4F6C3D03" w14:textId="77777777" w:rsidR="001246E7" w:rsidRDefault="001246E7" w:rsidP="00477C89">
            <w:pPr>
              <w:tabs>
                <w:tab w:val="left" w:pos="4468"/>
                <w:tab w:val="left" w:pos="5643"/>
                <w:tab w:val="left" w:pos="9747"/>
              </w:tabs>
              <w:spacing w:after="0" w:line="240" w:lineRule="auto"/>
              <w:jc w:val="both"/>
              <w:rPr>
                <w:rFonts w:ascii="Arial" w:hAnsi="Arial" w:cs="Arial"/>
                <w:lang w:val="nl-NL"/>
              </w:rPr>
            </w:pPr>
          </w:p>
          <w:p w14:paraId="5DC7728F" w14:textId="09ABC80D"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E10784">
              <w:rPr>
                <w:rFonts w:ascii="Arial" w:hAnsi="Arial" w:cs="Arial"/>
                <w:lang w:val="nl-NL"/>
              </w:rPr>
              <w:t xml:space="preserve">Die beperking van supplementen kan bepaald worden aan de hand van een plafond dat onder meer een maximumpercentage of een maximumbedrag kan zijn. </w:t>
            </w:r>
          </w:p>
        </w:tc>
      </w:tr>
      <w:tr w:rsidR="00672154" w:rsidRPr="00A827F1" w14:paraId="197C1A00" w14:textId="77777777" w:rsidTr="005F50EE">
        <w:tc>
          <w:tcPr>
            <w:tcW w:w="5104" w:type="dxa"/>
          </w:tcPr>
          <w:p w14:paraId="1335E35B" w14:textId="77777777" w:rsidR="00672154" w:rsidRPr="00FE42AD" w:rsidRDefault="0067215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55FDBB3" w14:textId="77777777" w:rsidR="00672154" w:rsidRPr="00FE42AD" w:rsidRDefault="00672154" w:rsidP="00477C89">
            <w:pPr>
              <w:tabs>
                <w:tab w:val="left" w:pos="4468"/>
                <w:tab w:val="left" w:pos="5643"/>
                <w:tab w:val="left" w:pos="9747"/>
              </w:tabs>
              <w:spacing w:after="0" w:line="240" w:lineRule="auto"/>
              <w:jc w:val="both"/>
              <w:rPr>
                <w:rFonts w:ascii="Arial" w:hAnsi="Arial" w:cs="Arial"/>
                <w:lang w:val="nl-NL"/>
              </w:rPr>
            </w:pPr>
          </w:p>
        </w:tc>
      </w:tr>
      <w:tr w:rsidR="00672154" w:rsidRPr="00A827F1" w14:paraId="0CB65AEE" w14:textId="77777777" w:rsidTr="005F50EE">
        <w:tc>
          <w:tcPr>
            <w:tcW w:w="5104" w:type="dxa"/>
          </w:tcPr>
          <w:p w14:paraId="0D711892" w14:textId="69D1941B" w:rsidR="00672154" w:rsidRPr="00672154" w:rsidRDefault="00672154" w:rsidP="00672154">
            <w:pPr>
              <w:tabs>
                <w:tab w:val="left" w:pos="4468"/>
                <w:tab w:val="left" w:pos="5643"/>
                <w:tab w:val="left" w:pos="9747"/>
              </w:tabs>
              <w:spacing w:after="0" w:line="240" w:lineRule="auto"/>
              <w:jc w:val="both"/>
              <w:rPr>
                <w:rFonts w:ascii="Arial" w:hAnsi="Arial" w:cs="Arial"/>
                <w:lang w:val="fr-FR"/>
              </w:rPr>
            </w:pPr>
            <w:r w:rsidRPr="00672154">
              <w:rPr>
                <w:rFonts w:ascii="Arial" w:hAnsi="Arial" w:cs="Arial"/>
                <w:lang w:val="fr-FR"/>
              </w:rPr>
              <w:t>Le supplément maximal ou plafond déterminé par le Roi peut différer en fonction de la prestation de santé fournie ou du ou des groupes de prestations de santé fournies. En outre, le supplément maximal peut également varier selon que le bénéficiaire est admis à l’hôpital  ou non. Par « admis à l’hôpital», on entend les patients hospitalisés, y compris les patients admis en hospitalisation de jour.</w:t>
            </w:r>
          </w:p>
        </w:tc>
        <w:tc>
          <w:tcPr>
            <w:tcW w:w="5104" w:type="dxa"/>
          </w:tcPr>
          <w:p w14:paraId="46C84971" w14:textId="5C5D2B50" w:rsidR="00672154" w:rsidRPr="00672154" w:rsidRDefault="00672154" w:rsidP="00672154">
            <w:pPr>
              <w:tabs>
                <w:tab w:val="left" w:pos="4468"/>
                <w:tab w:val="left" w:pos="5643"/>
                <w:tab w:val="left" w:pos="9747"/>
              </w:tabs>
              <w:spacing w:after="0" w:line="240" w:lineRule="auto"/>
              <w:jc w:val="both"/>
              <w:rPr>
                <w:rFonts w:ascii="Arial" w:hAnsi="Arial" w:cs="Arial"/>
                <w:lang w:val="nl-NL"/>
              </w:rPr>
            </w:pPr>
            <w:r w:rsidRPr="00672154">
              <w:rPr>
                <w:rFonts w:ascii="Arial" w:hAnsi="Arial" w:cs="Arial"/>
                <w:lang w:val="nl-NL"/>
              </w:rPr>
              <w:t>Het maximumsupplement of plafond bepaald door de Koning kan verschillen naar gelang de geneeskundige verstrekking of de groep(en) van geneeskundige verstrekkingen. Bovendien kan het maximumsupplement ook verschillen naargelang de rechthebbende al dan niet is opgenomen in een ziekenhuis. Onder opgenomen in een ziekenhuis verstaan wij gehospitaliseerde patiënten, met inbegrip van patiënten opgenomen in daghospitalisatie.</w:t>
            </w:r>
          </w:p>
        </w:tc>
      </w:tr>
      <w:tr w:rsidR="00672154" w:rsidRPr="00A827F1" w14:paraId="1C5559AB" w14:textId="77777777" w:rsidTr="005F50EE">
        <w:tc>
          <w:tcPr>
            <w:tcW w:w="5104" w:type="dxa"/>
          </w:tcPr>
          <w:p w14:paraId="0EBC8767" w14:textId="77777777" w:rsidR="00672154" w:rsidRPr="00672154" w:rsidRDefault="0067215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1A32F2A" w14:textId="77777777" w:rsidR="00672154" w:rsidRPr="00672154" w:rsidRDefault="00672154" w:rsidP="00477C89">
            <w:pPr>
              <w:tabs>
                <w:tab w:val="left" w:pos="4468"/>
                <w:tab w:val="left" w:pos="5643"/>
                <w:tab w:val="left" w:pos="9747"/>
              </w:tabs>
              <w:spacing w:after="0" w:line="240" w:lineRule="auto"/>
              <w:jc w:val="both"/>
              <w:rPr>
                <w:rFonts w:ascii="Arial" w:hAnsi="Arial" w:cs="Arial"/>
                <w:lang w:val="nl-NL"/>
              </w:rPr>
            </w:pPr>
          </w:p>
        </w:tc>
      </w:tr>
      <w:tr w:rsidR="00672154" w:rsidRPr="00A827F1" w14:paraId="5DFB40CA" w14:textId="77777777" w:rsidTr="005F50EE">
        <w:tc>
          <w:tcPr>
            <w:tcW w:w="5104" w:type="dxa"/>
          </w:tcPr>
          <w:p w14:paraId="17A2D28A" w14:textId="1E2661AF" w:rsidR="00672154" w:rsidRPr="00672154" w:rsidRDefault="00672154" w:rsidP="00477C89">
            <w:pPr>
              <w:tabs>
                <w:tab w:val="left" w:pos="4468"/>
                <w:tab w:val="left" w:pos="5643"/>
                <w:tab w:val="left" w:pos="9747"/>
              </w:tabs>
              <w:spacing w:after="0" w:line="240" w:lineRule="auto"/>
              <w:jc w:val="both"/>
              <w:rPr>
                <w:rFonts w:ascii="Arial" w:hAnsi="Arial" w:cs="Arial"/>
                <w:lang w:val="fr-FR"/>
              </w:rPr>
            </w:pPr>
            <w:r w:rsidRPr="00672154">
              <w:rPr>
                <w:rFonts w:ascii="Arial" w:hAnsi="Arial" w:cs="Arial"/>
                <w:lang w:val="fr-FR"/>
              </w:rPr>
              <w:t xml:space="preserve">En outre, la facturation des suppléments peut être limitée à une partie du montant ou de l’honoraire servant de base au calcul de l'intervention de l'assurance. Cela permet de prévoir une granulation en fonction des différentes sous-parties </w:t>
            </w:r>
            <w:r w:rsidRPr="00672154">
              <w:rPr>
                <w:rFonts w:ascii="Arial" w:hAnsi="Arial" w:cs="Arial"/>
                <w:lang w:val="fr-FR"/>
              </w:rPr>
              <w:lastRenderedPageBreak/>
              <w:t>qui seront créées dans le cadre de la réforme générale de la nomenclature telle que mentionnée dans la convention nationale médecins-organismes assureurs 2024-2025. Ainsi, pour les différentes prestations, une distinction sera faite entre une partie professionnelle et une partie des coûts des honoraires, le Roi, par un arrêté délibéré en Conseil des ministres, p</w:t>
            </w:r>
            <w:r w:rsidR="00F13A1D">
              <w:rPr>
                <w:rFonts w:ascii="Arial" w:hAnsi="Arial" w:cs="Arial"/>
                <w:lang w:val="fr-FR"/>
              </w:rPr>
              <w:t>eut</w:t>
            </w:r>
            <w:r w:rsidRPr="00672154">
              <w:rPr>
                <w:rFonts w:ascii="Arial" w:hAnsi="Arial" w:cs="Arial"/>
                <w:lang w:val="fr-FR"/>
              </w:rPr>
              <w:t xml:space="preserve"> limiter les suppléments à la partie professionnelle.</w:t>
            </w:r>
          </w:p>
        </w:tc>
        <w:tc>
          <w:tcPr>
            <w:tcW w:w="5104" w:type="dxa"/>
          </w:tcPr>
          <w:p w14:paraId="5C73B533" w14:textId="417E2A93" w:rsidR="00672154" w:rsidRPr="00E4544A" w:rsidRDefault="00672154" w:rsidP="00477C89">
            <w:pPr>
              <w:tabs>
                <w:tab w:val="left" w:pos="4468"/>
                <w:tab w:val="left" w:pos="5643"/>
                <w:tab w:val="left" w:pos="9747"/>
              </w:tabs>
              <w:spacing w:after="0" w:line="240" w:lineRule="auto"/>
              <w:jc w:val="both"/>
              <w:rPr>
                <w:rFonts w:ascii="Arial" w:hAnsi="Arial" w:cs="Arial"/>
                <w:lang w:val="nl-BE"/>
              </w:rPr>
            </w:pPr>
            <w:r w:rsidRPr="00672154">
              <w:rPr>
                <w:rFonts w:ascii="Arial" w:hAnsi="Arial" w:cs="Arial"/>
                <w:lang w:val="nl-NL"/>
              </w:rPr>
              <w:lastRenderedPageBreak/>
              <w:t xml:space="preserve">Daarenboven kan het aanrekenen van supplementen beperkt worden tot een gedeelte van het bedrag of het honorarium dat als berekeningsbasis dient voor de verzekeringstegemoetkoming. Dit laat toe een </w:t>
            </w:r>
            <w:r w:rsidRPr="00672154">
              <w:rPr>
                <w:rFonts w:ascii="Arial" w:hAnsi="Arial" w:cs="Arial"/>
                <w:lang w:val="nl-NL"/>
              </w:rPr>
              <w:lastRenderedPageBreak/>
              <w:t xml:space="preserve">granulatie te voorzien in functie van de verschillende onderdelen die gecreëerd zullen worden in het kader van de algemene hervorming van de nomenclatuur zoals vermeld in het nationaal akkoord artsen-ziekenfondsen 2024-2025. Zo zal er voor de verschillende verstrekkingen een onderscheid gemaakt worden tussen een professioneel gedeelte en een kostengedeelte van de honoraria, waarbij de Koning, bij in een Ministerraad overlegd besluit, de supplementen </w:t>
            </w:r>
            <w:r w:rsidR="00F13A1D">
              <w:rPr>
                <w:rFonts w:ascii="Arial" w:hAnsi="Arial" w:cs="Arial"/>
                <w:lang w:val="nl-NL"/>
              </w:rPr>
              <w:t xml:space="preserve">kan </w:t>
            </w:r>
            <w:r w:rsidRPr="00672154">
              <w:rPr>
                <w:rFonts w:ascii="Arial" w:hAnsi="Arial" w:cs="Arial"/>
                <w:lang w:val="nl-NL"/>
              </w:rPr>
              <w:t xml:space="preserve"> beperken tot het professioneel gedeelte.</w:t>
            </w:r>
          </w:p>
        </w:tc>
      </w:tr>
      <w:tr w:rsidR="005D0692" w:rsidRPr="00A827F1" w14:paraId="09AB1EB1" w14:textId="77777777" w:rsidTr="005F50EE">
        <w:tc>
          <w:tcPr>
            <w:tcW w:w="5104" w:type="dxa"/>
          </w:tcPr>
          <w:p w14:paraId="43AED79F" w14:textId="77777777" w:rsidR="005D0692" w:rsidRPr="00E4544A" w:rsidRDefault="005D0692" w:rsidP="00477C89">
            <w:pPr>
              <w:tabs>
                <w:tab w:val="left" w:pos="4468"/>
                <w:tab w:val="left" w:pos="5643"/>
                <w:tab w:val="left" w:pos="9747"/>
              </w:tabs>
              <w:spacing w:after="0" w:line="240" w:lineRule="auto"/>
              <w:jc w:val="both"/>
              <w:rPr>
                <w:rFonts w:ascii="Arial" w:hAnsi="Arial" w:cs="Arial"/>
                <w:lang w:val="nl-BE"/>
              </w:rPr>
            </w:pPr>
          </w:p>
        </w:tc>
        <w:tc>
          <w:tcPr>
            <w:tcW w:w="5104" w:type="dxa"/>
          </w:tcPr>
          <w:p w14:paraId="2592BEB6" w14:textId="77777777" w:rsidR="005D0692" w:rsidRPr="00E4544A" w:rsidRDefault="005D0692" w:rsidP="00477C89">
            <w:pPr>
              <w:tabs>
                <w:tab w:val="left" w:pos="4468"/>
                <w:tab w:val="left" w:pos="5643"/>
                <w:tab w:val="left" w:pos="9747"/>
              </w:tabs>
              <w:spacing w:after="0" w:line="240" w:lineRule="auto"/>
              <w:jc w:val="both"/>
              <w:rPr>
                <w:rFonts w:ascii="Arial" w:hAnsi="Arial" w:cs="Arial"/>
                <w:lang w:val="nl-BE"/>
              </w:rPr>
            </w:pPr>
          </w:p>
        </w:tc>
      </w:tr>
      <w:tr w:rsidR="005D0692" w:rsidRPr="00A827F1" w14:paraId="5FC50589" w14:textId="77777777" w:rsidTr="005F50EE">
        <w:tc>
          <w:tcPr>
            <w:tcW w:w="5104" w:type="dxa"/>
          </w:tcPr>
          <w:p w14:paraId="24D45435" w14:textId="0A4B6747" w:rsidR="005D0692" w:rsidRPr="00671DC6" w:rsidRDefault="005D0692"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Cet</w:t>
            </w:r>
            <w:r w:rsidR="00672154">
              <w:rPr>
                <w:rFonts w:ascii="Arial" w:hAnsi="Arial" w:cs="Arial"/>
                <w:lang w:val="fr-FR"/>
              </w:rPr>
              <w:t>te</w:t>
            </w:r>
            <w:r w:rsidRPr="00671DC6">
              <w:rPr>
                <w:rFonts w:ascii="Arial" w:hAnsi="Arial" w:cs="Arial"/>
                <w:lang w:val="fr-FR"/>
              </w:rPr>
              <w:t xml:space="preserve"> </w:t>
            </w:r>
            <w:r w:rsidR="00672154">
              <w:rPr>
                <w:rFonts w:ascii="Arial" w:hAnsi="Arial" w:cs="Arial"/>
                <w:lang w:val="fr-FR"/>
              </w:rPr>
              <w:t>proposition de la commission d’accord concernée</w:t>
            </w:r>
            <w:r w:rsidR="00672154" w:rsidRPr="00671DC6">
              <w:rPr>
                <w:rFonts w:ascii="Arial" w:hAnsi="Arial" w:cs="Arial"/>
                <w:lang w:val="fr-FR"/>
              </w:rPr>
              <w:t xml:space="preserve"> </w:t>
            </w:r>
            <w:r w:rsidRPr="00671DC6">
              <w:rPr>
                <w:rFonts w:ascii="Arial" w:hAnsi="Arial" w:cs="Arial"/>
                <w:lang w:val="fr-FR"/>
              </w:rPr>
              <w:t>est émis</w:t>
            </w:r>
            <w:r w:rsidR="00672154">
              <w:rPr>
                <w:rFonts w:ascii="Arial" w:hAnsi="Arial" w:cs="Arial"/>
                <w:lang w:val="fr-FR"/>
              </w:rPr>
              <w:t>e</w:t>
            </w:r>
            <w:r w:rsidRPr="00671DC6">
              <w:rPr>
                <w:rFonts w:ascii="Arial" w:hAnsi="Arial" w:cs="Arial"/>
                <w:lang w:val="fr-FR"/>
              </w:rPr>
              <w:t xml:space="preserve"> à la majorité des trois quarts tant des membres représentant les organismes assureurs que des membres représentant les dispensateurs  de soins.</w:t>
            </w:r>
            <w:r w:rsidR="00093693" w:rsidRPr="00671DC6">
              <w:rPr>
                <w:lang w:val="fr-FR"/>
              </w:rPr>
              <w:t xml:space="preserve"> </w:t>
            </w:r>
            <w:r w:rsidR="00093693" w:rsidRPr="00671DC6">
              <w:rPr>
                <w:rFonts w:ascii="Arial" w:hAnsi="Arial" w:cs="Arial"/>
                <w:lang w:val="fr-FR"/>
              </w:rPr>
              <w:t xml:space="preserve">Dans l’hypothèse où un vote doit de nouveau être organisé parce que ces quorums n’ont pas été atteints, un nouveau vote peut avoir lieu et l’adoption de </w:t>
            </w:r>
            <w:r w:rsidR="00672154">
              <w:rPr>
                <w:rFonts w:ascii="Arial" w:hAnsi="Arial" w:cs="Arial"/>
                <w:lang w:val="fr-FR"/>
              </w:rPr>
              <w:t>la proposition</w:t>
            </w:r>
            <w:r w:rsidR="00672154" w:rsidRPr="00671DC6">
              <w:rPr>
                <w:rFonts w:ascii="Arial" w:hAnsi="Arial" w:cs="Arial"/>
                <w:lang w:val="fr-FR"/>
              </w:rPr>
              <w:t xml:space="preserve"> </w:t>
            </w:r>
            <w:r w:rsidR="00093693" w:rsidRPr="00671DC6">
              <w:rPr>
                <w:rFonts w:ascii="Arial" w:hAnsi="Arial" w:cs="Arial"/>
                <w:lang w:val="fr-FR"/>
              </w:rPr>
              <w:t>requiert alors seulement une majorité ordinaire au sein de chacun des deux bancs.</w:t>
            </w:r>
          </w:p>
        </w:tc>
        <w:tc>
          <w:tcPr>
            <w:tcW w:w="5104" w:type="dxa"/>
          </w:tcPr>
          <w:p w14:paraId="00AF4A60" w14:textId="25A1F499" w:rsidR="005D0692" w:rsidRPr="005D0692" w:rsidRDefault="00672154" w:rsidP="00477C89">
            <w:pPr>
              <w:tabs>
                <w:tab w:val="left" w:pos="4468"/>
                <w:tab w:val="left" w:pos="5643"/>
                <w:tab w:val="left" w:pos="9747"/>
              </w:tabs>
              <w:spacing w:after="0" w:line="240" w:lineRule="auto"/>
              <w:jc w:val="both"/>
              <w:rPr>
                <w:rFonts w:ascii="Arial" w:hAnsi="Arial" w:cs="Arial"/>
                <w:lang w:val="nl-NL"/>
              </w:rPr>
            </w:pPr>
            <w:r>
              <w:rPr>
                <w:rFonts w:ascii="Arial" w:hAnsi="Arial" w:cs="Arial"/>
                <w:lang w:val="nl-NL"/>
              </w:rPr>
              <w:t>Het voorstel van de betrokken akkoordencommissie</w:t>
            </w:r>
            <w:r w:rsidRPr="00527BB9">
              <w:rPr>
                <w:rFonts w:ascii="Arial" w:hAnsi="Arial" w:cs="Arial"/>
                <w:lang w:val="nl-NL"/>
              </w:rPr>
              <w:t xml:space="preserve"> </w:t>
            </w:r>
            <w:r w:rsidR="005D0692" w:rsidRPr="00671DC6">
              <w:rPr>
                <w:rFonts w:ascii="Arial" w:hAnsi="Arial" w:cs="Arial"/>
                <w:lang w:val="nl-NL"/>
              </w:rPr>
              <w:t>wordt verleend bij drie vierde meerderheid zowel van leden die de verzekeringsinstellingen vertegenwoordigen als van de leden die de zorgverleners vertegenwoordigen.</w:t>
            </w:r>
            <w:r w:rsidR="001C1FB4" w:rsidRPr="00671DC6">
              <w:rPr>
                <w:lang w:val="nl-NL"/>
              </w:rPr>
              <w:t xml:space="preserve"> </w:t>
            </w:r>
            <w:r w:rsidR="001C1FB4" w:rsidRPr="00671DC6">
              <w:rPr>
                <w:rFonts w:ascii="Arial" w:hAnsi="Arial" w:cs="Arial"/>
                <w:lang w:val="nl-NL"/>
              </w:rPr>
              <w:t xml:space="preserve">In de hypothese dat opnieuw een stemming moet georganiseerd worden omdat deze quorums niet bereikt zijn, kan een nieuwe stemming gehouden worden en vereist de aanname van het </w:t>
            </w:r>
            <w:r w:rsidR="00B91AEA">
              <w:rPr>
                <w:rFonts w:ascii="Arial" w:hAnsi="Arial" w:cs="Arial"/>
                <w:lang w:val="nl-NL"/>
              </w:rPr>
              <w:t>voorstel</w:t>
            </w:r>
            <w:r w:rsidR="00B91AEA" w:rsidRPr="00671DC6">
              <w:rPr>
                <w:rFonts w:ascii="Arial" w:hAnsi="Arial" w:cs="Arial"/>
                <w:lang w:val="nl-NL"/>
              </w:rPr>
              <w:t xml:space="preserve"> </w:t>
            </w:r>
            <w:r w:rsidR="001C1FB4" w:rsidRPr="00671DC6">
              <w:rPr>
                <w:rFonts w:ascii="Arial" w:hAnsi="Arial" w:cs="Arial"/>
                <w:lang w:val="nl-NL"/>
              </w:rPr>
              <w:t>slechts een gewone meerderheid in elk van de twee banken.</w:t>
            </w:r>
          </w:p>
        </w:tc>
      </w:tr>
      <w:tr w:rsidR="00672154" w:rsidRPr="00A827F1" w14:paraId="53054A7F" w14:textId="77777777" w:rsidTr="005F50EE">
        <w:tc>
          <w:tcPr>
            <w:tcW w:w="5104" w:type="dxa"/>
          </w:tcPr>
          <w:p w14:paraId="6CB740F8" w14:textId="77777777" w:rsidR="00672154" w:rsidRPr="005D0692" w:rsidRDefault="0067215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D445F35" w14:textId="77777777" w:rsidR="00672154" w:rsidRPr="005D0692" w:rsidRDefault="00672154" w:rsidP="00477C89">
            <w:pPr>
              <w:tabs>
                <w:tab w:val="left" w:pos="4468"/>
                <w:tab w:val="left" w:pos="5643"/>
                <w:tab w:val="left" w:pos="9747"/>
              </w:tabs>
              <w:spacing w:after="0" w:line="240" w:lineRule="auto"/>
              <w:jc w:val="both"/>
              <w:rPr>
                <w:rFonts w:ascii="Arial" w:hAnsi="Arial" w:cs="Arial"/>
                <w:lang w:val="nl-NL"/>
              </w:rPr>
            </w:pPr>
          </w:p>
        </w:tc>
      </w:tr>
      <w:tr w:rsidR="00672154" w:rsidRPr="00A827F1" w14:paraId="3DC49CEF" w14:textId="77777777" w:rsidTr="005F50EE">
        <w:tc>
          <w:tcPr>
            <w:tcW w:w="5104" w:type="dxa"/>
          </w:tcPr>
          <w:p w14:paraId="4BA0EBC3" w14:textId="625502BA" w:rsidR="00672154" w:rsidRPr="00B91AEA" w:rsidRDefault="00B91AEA" w:rsidP="00477C89">
            <w:pPr>
              <w:tabs>
                <w:tab w:val="left" w:pos="4468"/>
                <w:tab w:val="left" w:pos="5643"/>
                <w:tab w:val="left" w:pos="9747"/>
              </w:tabs>
              <w:spacing w:after="0" w:line="240" w:lineRule="auto"/>
              <w:jc w:val="both"/>
              <w:rPr>
                <w:rFonts w:ascii="Arial" w:hAnsi="Arial" w:cs="Arial"/>
                <w:lang w:val="fr-FR"/>
              </w:rPr>
            </w:pPr>
            <w:r w:rsidRPr="00B91AEA">
              <w:rPr>
                <w:rFonts w:ascii="Arial" w:hAnsi="Arial" w:cs="Arial"/>
                <w:lang w:val="fr-FR"/>
              </w:rPr>
              <w:t>La commission d’accord est chargée d’élaborer une proposition en vue de fixer un ou plusieurs plafonds pour la facturation des suppléments au sein de son secteur</w:t>
            </w:r>
            <w:r w:rsidR="00E4544A">
              <w:rPr>
                <w:rFonts w:ascii="Arial" w:hAnsi="Arial" w:cs="Arial"/>
                <w:lang w:val="fr-FR"/>
              </w:rPr>
              <w:t xml:space="preserve"> au plus tard le 31 juillet 2027</w:t>
            </w:r>
            <w:r w:rsidRPr="00B91AEA">
              <w:rPr>
                <w:rFonts w:ascii="Arial" w:hAnsi="Arial" w:cs="Arial"/>
                <w:lang w:val="fr-FR"/>
              </w:rPr>
              <w:t>. Les commissions d’accord peuvent à la fois proposer un plafond maximum général pour leur secteur et formuler une proposition affinée, dans laquelle différents maximums s’appliquent, en fonction par exemple de groupes de prestations ou de numéros d’agrément. Cette disposition permet également de mener une négociation plus globale sur un nouvel accord tarifaire ainsi qu’une proposition visant à affiner ou perfectionner des plafonds de suppléments.</w:t>
            </w:r>
          </w:p>
        </w:tc>
        <w:tc>
          <w:tcPr>
            <w:tcW w:w="5104" w:type="dxa"/>
          </w:tcPr>
          <w:p w14:paraId="77817DD0" w14:textId="7A8439D3" w:rsidR="00672154" w:rsidRPr="005D0692" w:rsidRDefault="00672154" w:rsidP="00477C89">
            <w:pPr>
              <w:tabs>
                <w:tab w:val="left" w:pos="4468"/>
                <w:tab w:val="left" w:pos="5643"/>
                <w:tab w:val="left" w:pos="9747"/>
              </w:tabs>
              <w:spacing w:after="0" w:line="240" w:lineRule="auto"/>
              <w:jc w:val="both"/>
              <w:rPr>
                <w:rFonts w:ascii="Arial" w:hAnsi="Arial" w:cs="Arial"/>
                <w:lang w:val="nl-NL"/>
              </w:rPr>
            </w:pPr>
            <w:r w:rsidRPr="00672154">
              <w:rPr>
                <w:rFonts w:ascii="Arial" w:hAnsi="Arial" w:cs="Arial"/>
                <w:lang w:val="nl-NL"/>
              </w:rPr>
              <w:t>Aan de akkoordencommissie wordt de opdracht gegeven om een voorstel uit te werken voor het vaststellen van een of meerdere plafonds aan het aanrekenen van supplementen binnen hun sector</w:t>
            </w:r>
            <w:r w:rsidR="00E4544A">
              <w:rPr>
                <w:rFonts w:ascii="Arial" w:hAnsi="Arial" w:cs="Arial"/>
                <w:lang w:val="nl-NL"/>
              </w:rPr>
              <w:t xml:space="preserve"> tegen uiterlijk 31 juli 2027</w:t>
            </w:r>
            <w:r w:rsidRPr="00672154">
              <w:rPr>
                <w:rFonts w:ascii="Arial" w:hAnsi="Arial" w:cs="Arial"/>
                <w:lang w:val="nl-NL"/>
              </w:rPr>
              <w:t>. De akkoordencommissies kunnen zowel een algemeen maximum plafond voor hun sector voorstellen als een verfijnd voorstel doen waarbij verschillende maxima van toepassing zijn, afhankelijk van bijvoorbeeld groepen van  verstrekkingen of erkenningsnummers. Deze bepaling laat eveneens toe om een meer globale onderhandeling te voeren over een nieuw tariefakkoord alsook een voorstel tot verfijning of bijschaving van de plafonds voor supplementen.</w:t>
            </w:r>
          </w:p>
        </w:tc>
      </w:tr>
      <w:tr w:rsidR="00477C89" w:rsidRPr="00A827F1" w14:paraId="5EBC8344" w14:textId="77777777" w:rsidTr="005F50EE">
        <w:tc>
          <w:tcPr>
            <w:tcW w:w="5104" w:type="dxa"/>
          </w:tcPr>
          <w:p w14:paraId="6FE1C038" w14:textId="77777777" w:rsidR="00477C89" w:rsidRPr="005D069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2981077" w14:textId="77777777" w:rsidR="00477C89" w:rsidRPr="005D0692"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FE42AD" w14:paraId="0AF48C82" w14:textId="77777777" w:rsidTr="005F50EE">
        <w:tc>
          <w:tcPr>
            <w:tcW w:w="5104" w:type="dxa"/>
          </w:tcPr>
          <w:p w14:paraId="2F5A3B81" w14:textId="099B220B" w:rsidR="00477C89" w:rsidRPr="006214BC" w:rsidRDefault="00477C89" w:rsidP="00477C89">
            <w:pPr>
              <w:tabs>
                <w:tab w:val="left" w:pos="4468"/>
                <w:tab w:val="left" w:pos="5643"/>
                <w:tab w:val="left" w:pos="9747"/>
              </w:tabs>
              <w:spacing w:after="0" w:line="240" w:lineRule="auto"/>
              <w:jc w:val="both"/>
              <w:rPr>
                <w:rFonts w:ascii="Arial" w:hAnsi="Arial" w:cs="Arial"/>
                <w:u w:val="single"/>
                <w:lang w:val="fr-FR"/>
              </w:rPr>
            </w:pPr>
            <w:r w:rsidRPr="006214BC">
              <w:rPr>
                <w:rFonts w:ascii="Arial" w:hAnsi="Arial" w:cs="Arial"/>
                <w:u w:val="single"/>
                <w:lang w:val="fr-FR"/>
              </w:rPr>
              <w:t>Base de calcul du supplément maximal</w:t>
            </w:r>
          </w:p>
        </w:tc>
        <w:tc>
          <w:tcPr>
            <w:tcW w:w="5104" w:type="dxa"/>
          </w:tcPr>
          <w:p w14:paraId="33A98F8B" w14:textId="5C366CC4" w:rsidR="00477C89" w:rsidRPr="0007108A" w:rsidRDefault="00477C89" w:rsidP="00477C89">
            <w:pPr>
              <w:tabs>
                <w:tab w:val="left" w:pos="4468"/>
                <w:tab w:val="left" w:pos="5643"/>
                <w:tab w:val="left" w:pos="9747"/>
              </w:tabs>
              <w:spacing w:after="0" w:line="240" w:lineRule="auto"/>
              <w:jc w:val="both"/>
              <w:rPr>
                <w:rFonts w:ascii="Arial" w:hAnsi="Arial" w:cs="Arial"/>
                <w:u w:val="single"/>
                <w:lang w:val="nl-NL"/>
              </w:rPr>
            </w:pPr>
            <w:r w:rsidRPr="0007108A">
              <w:rPr>
                <w:rFonts w:ascii="Arial" w:hAnsi="Arial" w:cs="Arial"/>
                <w:u w:val="single"/>
                <w:lang w:val="nl-NL"/>
              </w:rPr>
              <w:t>Berekeningsbasis voor het maximumsupplement</w:t>
            </w:r>
          </w:p>
        </w:tc>
      </w:tr>
      <w:tr w:rsidR="00477C89" w:rsidRPr="00FE42AD" w14:paraId="2BE78C2C" w14:textId="77777777" w:rsidTr="005F50EE">
        <w:tc>
          <w:tcPr>
            <w:tcW w:w="5104" w:type="dxa"/>
          </w:tcPr>
          <w:p w14:paraId="47371130"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69B3907"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15AA503A" w14:textId="77777777" w:rsidTr="005F50EE">
        <w:tc>
          <w:tcPr>
            <w:tcW w:w="5104" w:type="dxa"/>
          </w:tcPr>
          <w:p w14:paraId="61158630" w14:textId="16BE0339"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 xml:space="preserve">Le supplément maximal est calculé sur la base du montant ou de l’honoraire servant de base de calcul pour l'intervention de l'assurance. Cela comprend l'intervention de l'assurance et la quote-part personnelle. Cela signifie que les </w:t>
            </w:r>
            <w:r>
              <w:rPr>
                <w:rFonts w:ascii="Arial" w:hAnsi="Arial" w:cs="Arial"/>
                <w:lang w:val="fr-FR"/>
              </w:rPr>
              <w:t>tarifs indicatifs (</w:t>
            </w:r>
            <w:r w:rsidRPr="006214BC">
              <w:rPr>
                <w:rFonts w:ascii="Arial" w:hAnsi="Arial" w:cs="Arial"/>
                <w:lang w:val="fr-FR"/>
              </w:rPr>
              <w:t xml:space="preserve">dépassements maximaux autorisés) dans le cadre des accords ne sont pas inclus dans le montant ou l’honoraire servant de base de calcul pour le </w:t>
            </w:r>
            <w:r w:rsidRPr="006214BC">
              <w:rPr>
                <w:rFonts w:ascii="Arial" w:hAnsi="Arial" w:cs="Arial"/>
                <w:lang w:val="fr-FR"/>
              </w:rPr>
              <w:lastRenderedPageBreak/>
              <w:t>supplément maximal aux fins de l'application de cette disposition</w:t>
            </w:r>
          </w:p>
          <w:p w14:paraId="11C9CD83" w14:textId="77777777"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p>
          <w:p w14:paraId="05DDC78D" w14:textId="77777777"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p>
          <w:p w14:paraId="2B4543E6" w14:textId="626D408F"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B4A8A5A" w14:textId="434634FB"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lastRenderedPageBreak/>
              <w:t xml:space="preserve">Het maximumsupplement wordt berekend aan de hand van het bedrag </w:t>
            </w:r>
            <w:r>
              <w:rPr>
                <w:rFonts w:ascii="Arial" w:hAnsi="Arial" w:cs="Arial"/>
                <w:lang w:val="nl-NL"/>
              </w:rPr>
              <w:t>of</w:t>
            </w:r>
            <w:r w:rsidRPr="00FE42AD">
              <w:rPr>
                <w:rFonts w:ascii="Arial" w:hAnsi="Arial" w:cs="Arial"/>
                <w:lang w:val="nl-NL"/>
              </w:rPr>
              <w:t xml:space="preserve"> het honorarium </w:t>
            </w:r>
            <w:r>
              <w:rPr>
                <w:rFonts w:ascii="Arial" w:hAnsi="Arial" w:cs="Arial"/>
                <w:lang w:val="nl-NL"/>
              </w:rPr>
              <w:t>dat</w:t>
            </w:r>
            <w:r w:rsidRPr="00FE42AD">
              <w:rPr>
                <w:rFonts w:ascii="Arial" w:hAnsi="Arial" w:cs="Arial"/>
                <w:lang w:val="nl-NL"/>
              </w:rPr>
              <w:t xml:space="preserve"> als berekeningsbasis dien</w:t>
            </w:r>
            <w:r>
              <w:rPr>
                <w:rFonts w:ascii="Arial" w:hAnsi="Arial" w:cs="Arial"/>
                <w:lang w:val="nl-NL"/>
              </w:rPr>
              <w:t>t</w:t>
            </w:r>
            <w:r w:rsidRPr="00FE42AD">
              <w:rPr>
                <w:rFonts w:ascii="Arial" w:hAnsi="Arial" w:cs="Arial"/>
                <w:lang w:val="nl-NL"/>
              </w:rPr>
              <w:t xml:space="preserve"> voor de verzekeringstegemoetkoming. Hieronder worden de verzekeringstegemoetkoming en het persoonlijk aandeel begrepen. Dit betekent dat </w:t>
            </w:r>
            <w:r>
              <w:rPr>
                <w:rFonts w:ascii="Arial" w:hAnsi="Arial" w:cs="Arial"/>
                <w:lang w:val="nl-NL"/>
              </w:rPr>
              <w:t>de richttarieven (</w:t>
            </w:r>
            <w:r w:rsidRPr="00FE42AD">
              <w:rPr>
                <w:rFonts w:ascii="Arial" w:hAnsi="Arial" w:cs="Arial"/>
                <w:lang w:val="nl-NL"/>
              </w:rPr>
              <w:t xml:space="preserve">de </w:t>
            </w:r>
            <w:r w:rsidRPr="00D160CB">
              <w:rPr>
                <w:rFonts w:ascii="Arial" w:hAnsi="Arial" w:cs="Arial"/>
                <w:lang w:val="nl-NL"/>
              </w:rPr>
              <w:t xml:space="preserve">in het kader van de akkoorden </w:t>
            </w:r>
            <w:r w:rsidRPr="00FE42AD">
              <w:rPr>
                <w:rFonts w:ascii="Arial" w:hAnsi="Arial" w:cs="Arial"/>
                <w:lang w:val="nl-NL"/>
              </w:rPr>
              <w:t>toegestane maximale overschrijding</w:t>
            </w:r>
            <w:r>
              <w:rPr>
                <w:rFonts w:ascii="Arial" w:hAnsi="Arial" w:cs="Arial"/>
                <w:lang w:val="nl-NL"/>
              </w:rPr>
              <w:t>en)</w:t>
            </w:r>
            <w:r w:rsidRPr="00FE42AD">
              <w:rPr>
                <w:rFonts w:ascii="Arial" w:hAnsi="Arial" w:cs="Arial"/>
                <w:lang w:val="nl-NL"/>
              </w:rPr>
              <w:t xml:space="preserve"> voor de toepassing van deze bepaling niet vervat zitten in het bedrag </w:t>
            </w:r>
            <w:r>
              <w:rPr>
                <w:rFonts w:ascii="Arial" w:hAnsi="Arial" w:cs="Arial"/>
                <w:lang w:val="nl-NL"/>
              </w:rPr>
              <w:lastRenderedPageBreak/>
              <w:t>of</w:t>
            </w:r>
            <w:r w:rsidRPr="00FE42AD">
              <w:rPr>
                <w:rFonts w:ascii="Arial" w:hAnsi="Arial" w:cs="Arial"/>
                <w:lang w:val="nl-NL"/>
              </w:rPr>
              <w:t xml:space="preserve"> het honorarium </w:t>
            </w:r>
            <w:r>
              <w:rPr>
                <w:rFonts w:ascii="Arial" w:hAnsi="Arial" w:cs="Arial"/>
                <w:lang w:val="nl-NL"/>
              </w:rPr>
              <w:t>dat</w:t>
            </w:r>
            <w:r w:rsidRPr="00FE42AD">
              <w:rPr>
                <w:rFonts w:ascii="Arial" w:hAnsi="Arial" w:cs="Arial"/>
                <w:lang w:val="nl-NL"/>
              </w:rPr>
              <w:t xml:space="preserve"> als berekeningsbasis dien</w:t>
            </w:r>
            <w:r>
              <w:rPr>
                <w:rFonts w:ascii="Arial" w:hAnsi="Arial" w:cs="Arial"/>
                <w:lang w:val="nl-NL"/>
              </w:rPr>
              <w:t>t</w:t>
            </w:r>
            <w:r w:rsidRPr="00FE42AD">
              <w:rPr>
                <w:rFonts w:ascii="Arial" w:hAnsi="Arial" w:cs="Arial"/>
                <w:lang w:val="nl-NL"/>
              </w:rPr>
              <w:t xml:space="preserve"> voor </w:t>
            </w:r>
            <w:r>
              <w:rPr>
                <w:rFonts w:ascii="Arial" w:hAnsi="Arial" w:cs="Arial"/>
                <w:lang w:val="nl-NL"/>
              </w:rPr>
              <w:t>het maximumsupplement</w:t>
            </w:r>
            <w:r w:rsidRPr="00FE42AD">
              <w:rPr>
                <w:rFonts w:ascii="Arial" w:hAnsi="Arial" w:cs="Arial"/>
                <w:lang w:val="nl-NL"/>
              </w:rPr>
              <w:t>.</w:t>
            </w:r>
          </w:p>
        </w:tc>
      </w:tr>
      <w:tr w:rsidR="00477C89" w:rsidRPr="00A827F1" w14:paraId="7335FA17" w14:textId="77777777" w:rsidTr="005F50EE">
        <w:tc>
          <w:tcPr>
            <w:tcW w:w="5104" w:type="dxa"/>
          </w:tcPr>
          <w:p w14:paraId="395EA704"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F3A1B4B"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0E8D70C0" w14:textId="77777777" w:rsidTr="005F50EE">
        <w:tc>
          <w:tcPr>
            <w:tcW w:w="5104" w:type="dxa"/>
          </w:tcPr>
          <w:p w14:paraId="148D04DF" w14:textId="776B5613" w:rsidR="00477C89" w:rsidRPr="009B50C8"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Si seulement un supplément ne peut être facturé que sur une partie du montant ou de l’honoraire servant de base de calcul pour l'intervention de l'assurance, le supplément maximal est calculé sur la partie non soumise à interdiction. Ainsi, si aucun supplément ne peut être facturé sur une partie, le montant de cette partie est exclu de la base de calcul du supplément maximal. Le supplément maximal est calculé sur la partie qui n'est soumise à aucune interdiction de supplément.</w:t>
            </w:r>
          </w:p>
        </w:tc>
        <w:tc>
          <w:tcPr>
            <w:tcW w:w="5104" w:type="dxa"/>
          </w:tcPr>
          <w:p w14:paraId="0100962A" w14:textId="7EA80568"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Indien slechts op een gedeelte van het bedrag </w:t>
            </w:r>
            <w:r>
              <w:rPr>
                <w:rFonts w:ascii="Arial" w:hAnsi="Arial" w:cs="Arial"/>
                <w:lang w:val="nl-NL"/>
              </w:rPr>
              <w:t>of</w:t>
            </w:r>
            <w:r w:rsidRPr="00FE42AD">
              <w:rPr>
                <w:rFonts w:ascii="Arial" w:hAnsi="Arial" w:cs="Arial"/>
                <w:lang w:val="nl-NL"/>
              </w:rPr>
              <w:t xml:space="preserve"> het honorarium </w:t>
            </w:r>
            <w:r>
              <w:rPr>
                <w:rFonts w:ascii="Arial" w:hAnsi="Arial" w:cs="Arial"/>
                <w:lang w:val="nl-NL"/>
              </w:rPr>
              <w:t>dat</w:t>
            </w:r>
            <w:r w:rsidRPr="00FE42AD">
              <w:rPr>
                <w:rFonts w:ascii="Arial" w:hAnsi="Arial" w:cs="Arial"/>
                <w:lang w:val="nl-NL"/>
              </w:rPr>
              <w:t xml:space="preserve"> als berekeningsbasis dien</w:t>
            </w:r>
            <w:r>
              <w:rPr>
                <w:rFonts w:ascii="Arial" w:hAnsi="Arial" w:cs="Arial"/>
                <w:lang w:val="nl-NL"/>
              </w:rPr>
              <w:t>t</w:t>
            </w:r>
            <w:r w:rsidRPr="00FE42AD">
              <w:rPr>
                <w:rFonts w:ascii="Arial" w:hAnsi="Arial" w:cs="Arial"/>
                <w:lang w:val="nl-NL"/>
              </w:rPr>
              <w:t xml:space="preserve"> voor de verzekeringstegemoetkoming, een supplement mag aangerekend worden, wordt het maximumsupplement berekend op het gedeelte hiervan waarvoor geen verbod geldt. Dus, als op een aandeel geen supplement mag aangerekend worden, wordt het bedrag van dit aandeel uitgezonderd van de berekeningsbasis van het maximumsupplement. Het maximumsupplement wordt berekend op het deel waarop geen verbod van supplement van toepassing is.</w:t>
            </w:r>
          </w:p>
        </w:tc>
      </w:tr>
      <w:tr w:rsidR="00477C89" w:rsidRPr="00A827F1" w14:paraId="6884AD0C" w14:textId="77777777" w:rsidTr="005F50EE">
        <w:tc>
          <w:tcPr>
            <w:tcW w:w="5104" w:type="dxa"/>
          </w:tcPr>
          <w:p w14:paraId="16FAB81D"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B75FD57"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E3BAC66" w14:textId="77777777" w:rsidTr="005F50EE">
        <w:tc>
          <w:tcPr>
            <w:tcW w:w="5104" w:type="dxa"/>
          </w:tcPr>
          <w:p w14:paraId="095AC428" w14:textId="5DFE7B6F" w:rsidR="00477C89" w:rsidRPr="009B50C8" w:rsidRDefault="00477C89" w:rsidP="00477C89">
            <w:pPr>
              <w:tabs>
                <w:tab w:val="left" w:pos="4468"/>
                <w:tab w:val="left" w:pos="5643"/>
                <w:tab w:val="left" w:pos="9747"/>
              </w:tabs>
              <w:spacing w:after="0" w:line="240" w:lineRule="auto"/>
              <w:jc w:val="both"/>
              <w:rPr>
                <w:rFonts w:ascii="Arial" w:hAnsi="Arial" w:cs="Arial"/>
                <w:lang w:val="fr-FR"/>
              </w:rPr>
            </w:pPr>
            <w:r w:rsidRPr="009B50C8">
              <w:rPr>
                <w:rFonts w:ascii="Arial" w:hAnsi="Arial" w:cs="Arial"/>
                <w:lang w:val="fr-FR"/>
              </w:rPr>
              <w:t xml:space="preserve">Les dispositions relatives aux </w:t>
            </w:r>
            <w:r>
              <w:rPr>
                <w:rFonts w:ascii="Arial" w:hAnsi="Arial" w:cs="Arial"/>
                <w:lang w:val="fr-FR"/>
              </w:rPr>
              <w:t>tarifs indicatifs (</w:t>
            </w:r>
            <w:r w:rsidRPr="009B50C8">
              <w:rPr>
                <w:rFonts w:ascii="Arial" w:hAnsi="Arial" w:cs="Arial"/>
                <w:lang w:val="fr-FR"/>
              </w:rPr>
              <w:t xml:space="preserve">dépassements maximaux autorisés dans le cadre des accords) constituent une lex specialis. Cela signifie, comme indiqué précédemment, que les </w:t>
            </w:r>
            <w:r>
              <w:rPr>
                <w:rFonts w:ascii="Arial" w:hAnsi="Arial" w:cs="Arial"/>
                <w:lang w:val="fr-FR"/>
              </w:rPr>
              <w:t>tarifs indicatifs (</w:t>
            </w:r>
            <w:r w:rsidRPr="009B50C8">
              <w:rPr>
                <w:rFonts w:ascii="Arial" w:hAnsi="Arial" w:cs="Arial"/>
                <w:lang w:val="fr-FR"/>
              </w:rPr>
              <w:t>dépassements maximaux autorisés) ne peuvent être considérés comme un supplément aux fins de l'application de la présente disposition.</w:t>
            </w:r>
          </w:p>
        </w:tc>
        <w:tc>
          <w:tcPr>
            <w:tcW w:w="5104" w:type="dxa"/>
          </w:tcPr>
          <w:p w14:paraId="7A23E601" w14:textId="080662C6"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De bepalingen inzake </w:t>
            </w:r>
            <w:r>
              <w:rPr>
                <w:rFonts w:ascii="Arial" w:hAnsi="Arial" w:cs="Arial"/>
                <w:lang w:val="nl-NL"/>
              </w:rPr>
              <w:t>de richttarieven (</w:t>
            </w:r>
            <w:r w:rsidRPr="00FE42AD">
              <w:rPr>
                <w:rFonts w:ascii="Arial" w:hAnsi="Arial" w:cs="Arial"/>
                <w:lang w:val="nl-NL"/>
              </w:rPr>
              <w:t xml:space="preserve">de </w:t>
            </w:r>
            <w:r>
              <w:rPr>
                <w:rFonts w:ascii="Arial" w:hAnsi="Arial" w:cs="Arial"/>
                <w:lang w:val="nl-NL"/>
              </w:rPr>
              <w:t xml:space="preserve">in het kader van de akkoorden </w:t>
            </w:r>
            <w:r w:rsidRPr="00FE42AD">
              <w:rPr>
                <w:rFonts w:ascii="Arial" w:hAnsi="Arial" w:cs="Arial"/>
                <w:lang w:val="nl-NL"/>
              </w:rPr>
              <w:t>toegestane maximale overschrijdingen</w:t>
            </w:r>
            <w:r>
              <w:rPr>
                <w:rFonts w:ascii="Arial" w:hAnsi="Arial" w:cs="Arial"/>
                <w:lang w:val="nl-NL"/>
              </w:rPr>
              <w:t xml:space="preserve">) </w:t>
            </w:r>
            <w:r w:rsidRPr="00FE42AD">
              <w:rPr>
                <w:rFonts w:ascii="Arial" w:hAnsi="Arial" w:cs="Arial"/>
                <w:lang w:val="nl-NL"/>
              </w:rPr>
              <w:t xml:space="preserve">vormen een lex specialis. Dit betekent, zoals eerder vermeld, dat </w:t>
            </w:r>
            <w:r>
              <w:rPr>
                <w:rFonts w:ascii="Arial" w:hAnsi="Arial" w:cs="Arial"/>
                <w:lang w:val="nl-NL"/>
              </w:rPr>
              <w:t>de richttarieven (</w:t>
            </w:r>
            <w:r w:rsidRPr="00FE42AD">
              <w:rPr>
                <w:rFonts w:ascii="Arial" w:hAnsi="Arial" w:cs="Arial"/>
                <w:lang w:val="nl-NL"/>
              </w:rPr>
              <w:t>de toegestane maximale overschrijding</w:t>
            </w:r>
            <w:r>
              <w:rPr>
                <w:rFonts w:ascii="Arial" w:hAnsi="Arial" w:cs="Arial"/>
                <w:lang w:val="nl-NL"/>
              </w:rPr>
              <w:t>en)</w:t>
            </w:r>
            <w:r w:rsidRPr="00FE42AD">
              <w:rPr>
                <w:rFonts w:ascii="Arial" w:hAnsi="Arial" w:cs="Arial"/>
                <w:lang w:val="nl-NL"/>
              </w:rPr>
              <w:t xml:space="preserve"> voor de toepassing van deze bepaling niet als supplement te beschouwen zijn.   </w:t>
            </w:r>
          </w:p>
        </w:tc>
      </w:tr>
      <w:tr w:rsidR="00B97185" w:rsidRPr="00A827F1" w14:paraId="27122F58" w14:textId="77777777" w:rsidTr="005F50EE">
        <w:tc>
          <w:tcPr>
            <w:tcW w:w="5104" w:type="dxa"/>
          </w:tcPr>
          <w:p w14:paraId="34EE81F2" w14:textId="77777777" w:rsidR="00B97185" w:rsidRPr="00FE42AD" w:rsidRDefault="00B97185"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CFBE879" w14:textId="77777777" w:rsidR="00B97185" w:rsidRPr="00FE42AD" w:rsidRDefault="00B97185" w:rsidP="00477C89">
            <w:pPr>
              <w:tabs>
                <w:tab w:val="left" w:pos="4468"/>
                <w:tab w:val="left" w:pos="5643"/>
                <w:tab w:val="left" w:pos="9747"/>
              </w:tabs>
              <w:spacing w:after="0" w:line="240" w:lineRule="auto"/>
              <w:jc w:val="both"/>
              <w:rPr>
                <w:rFonts w:ascii="Arial" w:hAnsi="Arial" w:cs="Arial"/>
                <w:lang w:val="nl-NL"/>
              </w:rPr>
            </w:pPr>
          </w:p>
        </w:tc>
      </w:tr>
      <w:tr w:rsidR="00B97185" w:rsidRPr="00A827F1" w14:paraId="3948D428" w14:textId="77777777" w:rsidTr="005F50EE">
        <w:tc>
          <w:tcPr>
            <w:tcW w:w="5104" w:type="dxa"/>
          </w:tcPr>
          <w:p w14:paraId="19EDC6A8" w14:textId="1B9CAC54" w:rsidR="00B97185" w:rsidRPr="00B97185" w:rsidRDefault="00B97185" w:rsidP="00477C89">
            <w:pPr>
              <w:tabs>
                <w:tab w:val="left" w:pos="4468"/>
                <w:tab w:val="left" w:pos="5643"/>
                <w:tab w:val="left" w:pos="9747"/>
              </w:tabs>
              <w:spacing w:after="0" w:line="240" w:lineRule="auto"/>
              <w:jc w:val="both"/>
              <w:rPr>
                <w:rFonts w:ascii="Arial" w:hAnsi="Arial" w:cs="Arial"/>
                <w:lang w:val="fr-FR"/>
              </w:rPr>
            </w:pPr>
            <w:r w:rsidRPr="00B97185">
              <w:rPr>
                <w:rFonts w:ascii="Arial" w:hAnsi="Arial" w:cs="Arial"/>
                <w:lang w:val="fr-FR"/>
              </w:rPr>
              <w:t>Ces dispositions sont également d’application si un intervention dans les coûts des prestations de santé est prévue dans le cadre d’un autre régime organisé par un autorité (comme par exemple le régime de sécurité sociale d’outre-mer, le régime spécifique des invalides de guerre, les accidents de travail et la maladies professionnelles). Ainsi, si pour les coûts des prestations découlant d'une maladie, de lésions ou de troubles fonctionnels une indemnisation même partielle est fournie en vertu d’un régime organisé par une autorité et si l’assurance obligatoire peut intervenir à titre provisoire conformément à l’article 136, §2 de la loi SSI, les dispositions précitées sont également d’application.</w:t>
            </w:r>
          </w:p>
        </w:tc>
        <w:tc>
          <w:tcPr>
            <w:tcW w:w="5104" w:type="dxa"/>
          </w:tcPr>
          <w:p w14:paraId="51EAD70C" w14:textId="1310289F" w:rsidR="00B97185" w:rsidRPr="00B97185" w:rsidRDefault="00B97185" w:rsidP="00477C89">
            <w:pPr>
              <w:tabs>
                <w:tab w:val="left" w:pos="4468"/>
                <w:tab w:val="left" w:pos="5643"/>
                <w:tab w:val="left" w:pos="9747"/>
              </w:tabs>
              <w:spacing w:after="0" w:line="240" w:lineRule="auto"/>
              <w:jc w:val="both"/>
              <w:rPr>
                <w:rFonts w:ascii="Arial" w:hAnsi="Arial" w:cs="Arial"/>
                <w:lang w:val="nl-NL"/>
              </w:rPr>
            </w:pPr>
            <w:r w:rsidRPr="00B97185">
              <w:rPr>
                <w:rFonts w:ascii="Arial" w:hAnsi="Arial" w:cs="Arial"/>
                <w:lang w:val="nl-NL"/>
              </w:rPr>
              <w:t>Deze bepalingen zijn eveneens van toepassing indien een tussenkomst in kosten van de geneeskundige verstrekkingen wordt voorzien in het kader van een ander door de overheid georganiseerd stelsel (zoals bijv. het stelsel overzeese sociale zekerheid, het bijzonder stelsel van de oorlogsinvaliden, oud-strijders en oorlogsslachtoffers, arbeidsongevallen en  beroepsziekten). Bijvoorbeeld, indien voor de kosten van geneeskundige verstrekkingen die voortvloeien uit ziekte, letsel of functionele stoornissen waarvoor krachtens andere wetgeving in het kader van een door de overheid georganiseerd stelsel  minstens gedeeltelijk schadeloosstelling wordt verleend en de verplichte ziekteverzekering provisioneel kan tussenkomen overeenkomstig artikel 136, §2, van de GVU-wet, dan gelden bovenvermelde beperkingen eveneens.</w:t>
            </w:r>
          </w:p>
        </w:tc>
      </w:tr>
      <w:tr w:rsidR="00477C89" w:rsidRPr="00A827F1" w14:paraId="2AAF732C" w14:textId="77777777" w:rsidTr="005F50EE">
        <w:tc>
          <w:tcPr>
            <w:tcW w:w="5104" w:type="dxa"/>
          </w:tcPr>
          <w:p w14:paraId="17D1B1D4" w14:textId="77777777" w:rsidR="00477C89" w:rsidRPr="00B97185"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29FE20A" w14:textId="77777777" w:rsidR="00477C89" w:rsidRPr="00B97185"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7E0AFCB4" w14:textId="77777777" w:rsidTr="005F50EE">
        <w:tc>
          <w:tcPr>
            <w:tcW w:w="5104" w:type="dxa"/>
          </w:tcPr>
          <w:p w14:paraId="14585E7E" w14:textId="70E1E35B"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+43</w:t>
            </w:r>
          </w:p>
        </w:tc>
        <w:tc>
          <w:tcPr>
            <w:tcW w:w="5104" w:type="dxa"/>
          </w:tcPr>
          <w:p w14:paraId="1D2DB87B" w14:textId="268180C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+43</w:t>
            </w:r>
          </w:p>
        </w:tc>
      </w:tr>
      <w:tr w:rsidR="00477C89" w:rsidRPr="00FE42AD" w14:paraId="02C2EB51" w14:textId="77777777" w:rsidTr="005F50EE">
        <w:tc>
          <w:tcPr>
            <w:tcW w:w="5104" w:type="dxa"/>
          </w:tcPr>
          <w:p w14:paraId="658BE3D5"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2B05BEA"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59001A41" w14:textId="77777777" w:rsidTr="005F50EE">
        <w:tc>
          <w:tcPr>
            <w:tcW w:w="5104" w:type="dxa"/>
          </w:tcPr>
          <w:p w14:paraId="5133F47F" w14:textId="45C120AB"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lastRenderedPageBreak/>
              <w:t xml:space="preserve">Cet article précise que l'interdiction des suppléments pour les soins ambulatoires dispensés aux bénéficiaires de l'intervention majorée ne porte pas atteinte aux dispositions prévues dans les accords, notamment la possibilité d'appliquer, le cas échéant, les </w:t>
            </w:r>
            <w:r>
              <w:rPr>
                <w:rFonts w:ascii="Arial" w:hAnsi="Arial" w:cs="Arial"/>
                <w:lang w:val="fr-FR"/>
              </w:rPr>
              <w:t xml:space="preserve">tarifs indicatifs (les </w:t>
            </w:r>
            <w:r w:rsidRPr="006214BC">
              <w:rPr>
                <w:rFonts w:ascii="Arial" w:hAnsi="Arial" w:cs="Arial"/>
                <w:lang w:val="fr-FR"/>
              </w:rPr>
              <w:t>dépassements maximaux des honoraires et des prix) ou de demander un supplément en cas d'exigences particulières du bénéficiaire.</w:t>
            </w:r>
          </w:p>
        </w:tc>
        <w:tc>
          <w:tcPr>
            <w:tcW w:w="5104" w:type="dxa"/>
          </w:tcPr>
          <w:p w14:paraId="51377E96" w14:textId="682CFAFC"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r w:rsidRPr="00CA581E">
              <w:rPr>
                <w:rFonts w:ascii="Arial" w:hAnsi="Arial" w:cs="Arial"/>
                <w:lang w:val="nl-NL"/>
              </w:rPr>
              <w:t xml:space="preserve">Dit artikel verduidelijkt dat het verbod op supplementen voor ambulante zorg verleend aan rechthebbenden op de verhoogde tegemoetkoming geen afbreuk doet aan de bepalingen die zijn voorzien in de akkoorden, met name de mogelijkheid om in voorkomend geval </w:t>
            </w:r>
            <w:r>
              <w:rPr>
                <w:rFonts w:ascii="Arial" w:hAnsi="Arial" w:cs="Arial"/>
                <w:lang w:val="nl-NL"/>
              </w:rPr>
              <w:t>de richttarieven (</w:t>
            </w:r>
            <w:r w:rsidRPr="00CA581E">
              <w:rPr>
                <w:rFonts w:ascii="Arial" w:hAnsi="Arial" w:cs="Arial"/>
                <w:lang w:val="nl-NL"/>
              </w:rPr>
              <w:t xml:space="preserve">de maximale overschrijdingen van de honoraria </w:t>
            </w:r>
            <w:r>
              <w:rPr>
                <w:rFonts w:ascii="Arial" w:hAnsi="Arial" w:cs="Arial"/>
                <w:lang w:val="nl-NL"/>
              </w:rPr>
              <w:t xml:space="preserve">en prijzen </w:t>
            </w:r>
            <w:r w:rsidRPr="00CA581E">
              <w:rPr>
                <w:rFonts w:ascii="Arial" w:hAnsi="Arial" w:cs="Arial"/>
                <w:lang w:val="nl-NL"/>
              </w:rPr>
              <w:t>toe te passen) of een supplement te vragen in geval van bijzondere eisen van de rechthebbende</w:t>
            </w:r>
            <w:r>
              <w:rPr>
                <w:rFonts w:ascii="Arial" w:hAnsi="Arial" w:cs="Arial"/>
                <w:lang w:val="nl-NL"/>
              </w:rPr>
              <w:t>.</w:t>
            </w:r>
          </w:p>
        </w:tc>
      </w:tr>
      <w:tr w:rsidR="00477C89" w:rsidRPr="00A827F1" w14:paraId="082A7ECB" w14:textId="77777777" w:rsidTr="005F50EE">
        <w:tc>
          <w:tcPr>
            <w:tcW w:w="5104" w:type="dxa"/>
          </w:tcPr>
          <w:p w14:paraId="5482D70E"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A8129B9"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272B3797" w14:textId="77777777" w:rsidTr="005F50EE">
        <w:tc>
          <w:tcPr>
            <w:tcW w:w="5104" w:type="dxa"/>
          </w:tcPr>
          <w:p w14:paraId="271791B4" w14:textId="2DA2B15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bookmarkStart w:id="12" w:name="_Hlk195531136"/>
            <w:r w:rsidRPr="00EE6F91">
              <w:rPr>
                <w:rFonts w:ascii="Arial" w:hAnsi="Arial" w:cs="Arial"/>
                <w:b/>
                <w:bCs/>
                <w:lang w:val="nl-NL"/>
              </w:rPr>
              <w:t>Art. X</w:t>
            </w:r>
            <w:r>
              <w:rPr>
                <w:rFonts w:ascii="Arial" w:hAnsi="Arial" w:cs="Arial"/>
                <w:b/>
                <w:bCs/>
                <w:lang w:val="nl-NL"/>
              </w:rPr>
              <w:t>+44</w:t>
            </w:r>
          </w:p>
        </w:tc>
        <w:tc>
          <w:tcPr>
            <w:tcW w:w="5104" w:type="dxa"/>
          </w:tcPr>
          <w:p w14:paraId="4E3D77D6" w14:textId="4B1E9AB3"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+44</w:t>
            </w:r>
          </w:p>
        </w:tc>
      </w:tr>
      <w:bookmarkEnd w:id="12"/>
      <w:tr w:rsidR="00477C89" w:rsidRPr="00FE42AD" w14:paraId="6B0DABF1" w14:textId="77777777" w:rsidTr="005F50EE">
        <w:tc>
          <w:tcPr>
            <w:tcW w:w="5104" w:type="dxa"/>
          </w:tcPr>
          <w:p w14:paraId="4223B659"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F17470D"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85B7932" w14:textId="77777777" w:rsidTr="005F50EE">
        <w:tc>
          <w:tcPr>
            <w:tcW w:w="5104" w:type="dxa"/>
          </w:tcPr>
          <w:p w14:paraId="1AE692E4" w14:textId="26FDDD14"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 xml:space="preserve">Cet article vise à apporter une correction technique. La référence à l’alinéa 1er est complétée par la nouvelle disposition insérée à </w:t>
            </w:r>
            <w:r w:rsidRPr="00D83D55">
              <w:rPr>
                <w:rFonts w:ascii="Arial" w:hAnsi="Arial" w:cs="Arial"/>
                <w:highlight w:val="magenta"/>
                <w:lang w:val="fr-FR"/>
              </w:rPr>
              <w:t>l’article X+42</w:t>
            </w:r>
            <w:r w:rsidRPr="006214BC">
              <w:rPr>
                <w:rFonts w:ascii="Arial" w:hAnsi="Arial" w:cs="Arial"/>
                <w:lang w:val="fr-FR"/>
              </w:rPr>
              <w:t xml:space="preserve"> de la présente loi.</w:t>
            </w:r>
          </w:p>
        </w:tc>
        <w:tc>
          <w:tcPr>
            <w:tcW w:w="5104" w:type="dxa"/>
          </w:tcPr>
          <w:p w14:paraId="1A9DF20C" w14:textId="33ACF833"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Dit artikel beoogt een technische correctie door te voeren. De verwijzing in het eerste lid wordt aangevuld met de nieuwe bepaling ingevoegd onder </w:t>
            </w:r>
            <w:r w:rsidRPr="00D83D55">
              <w:rPr>
                <w:rFonts w:ascii="Arial" w:hAnsi="Arial" w:cs="Arial"/>
                <w:highlight w:val="magenta"/>
                <w:lang w:val="nl-NL"/>
              </w:rPr>
              <w:t>artikel X+42</w:t>
            </w:r>
            <w:r w:rsidRPr="00FE42AD">
              <w:rPr>
                <w:rFonts w:ascii="Arial" w:hAnsi="Arial" w:cs="Arial"/>
                <w:lang w:val="nl-NL"/>
              </w:rPr>
              <w:t xml:space="preserve"> van deze wet.</w:t>
            </w:r>
          </w:p>
        </w:tc>
      </w:tr>
      <w:tr w:rsidR="00477C89" w:rsidRPr="00A827F1" w14:paraId="7C40C0D1" w14:textId="77777777" w:rsidTr="005F50EE">
        <w:tc>
          <w:tcPr>
            <w:tcW w:w="5104" w:type="dxa"/>
          </w:tcPr>
          <w:p w14:paraId="189AF376"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B7AACB8"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1D40803F" w14:textId="77777777" w:rsidTr="005F50EE">
        <w:tc>
          <w:tcPr>
            <w:tcW w:w="5104" w:type="dxa"/>
          </w:tcPr>
          <w:p w14:paraId="25164616" w14:textId="7DCA6BB8"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+45</w:t>
            </w:r>
          </w:p>
        </w:tc>
        <w:tc>
          <w:tcPr>
            <w:tcW w:w="5104" w:type="dxa"/>
          </w:tcPr>
          <w:p w14:paraId="628B837F" w14:textId="53688CE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+45</w:t>
            </w:r>
          </w:p>
        </w:tc>
      </w:tr>
      <w:tr w:rsidR="00477C89" w:rsidRPr="00FE42AD" w14:paraId="32F6D46E" w14:textId="77777777" w:rsidTr="005F50EE">
        <w:tc>
          <w:tcPr>
            <w:tcW w:w="5104" w:type="dxa"/>
          </w:tcPr>
          <w:p w14:paraId="596B7B2E"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B61689C"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66BF479" w14:textId="77777777" w:rsidTr="005F50EE">
        <w:tc>
          <w:tcPr>
            <w:tcW w:w="5104" w:type="dxa"/>
          </w:tcPr>
          <w:p w14:paraId="7AFDD6B1" w14:textId="481ECE74" w:rsidR="00477C89" w:rsidRPr="006214BC" w:rsidRDefault="00477C89" w:rsidP="00477C89">
            <w:pPr>
              <w:tabs>
                <w:tab w:val="left" w:pos="4468"/>
                <w:tab w:val="left" w:pos="5643"/>
                <w:tab w:val="left" w:pos="9747"/>
              </w:tabs>
              <w:spacing w:after="0" w:line="240" w:lineRule="auto"/>
              <w:jc w:val="both"/>
              <w:rPr>
                <w:rFonts w:ascii="Arial" w:hAnsi="Arial" w:cs="Arial"/>
                <w:lang w:val="fr-FR"/>
              </w:rPr>
            </w:pPr>
            <w:r w:rsidRPr="006214BC">
              <w:rPr>
                <w:rFonts w:ascii="Arial" w:hAnsi="Arial" w:cs="Arial"/>
                <w:lang w:val="fr-FR"/>
              </w:rPr>
              <w:t>Cet article vise à fixer la date d'entrée en vigueur des différents articles de la présente section.</w:t>
            </w:r>
          </w:p>
        </w:tc>
        <w:tc>
          <w:tcPr>
            <w:tcW w:w="5104" w:type="dxa"/>
          </w:tcPr>
          <w:p w14:paraId="77223584" w14:textId="14A1B134"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r w:rsidRPr="00FE42AD">
              <w:rPr>
                <w:rFonts w:ascii="Arial" w:hAnsi="Arial" w:cs="Arial"/>
                <w:lang w:val="nl-NL"/>
              </w:rPr>
              <w:t xml:space="preserve">Dit artikel beoogt de datum van inwerkingtreding voor de verschillende artikelen van deze afdeling te bepalen. </w:t>
            </w:r>
          </w:p>
        </w:tc>
      </w:tr>
      <w:tr w:rsidR="00477C89" w:rsidRPr="00A827F1" w14:paraId="4BB9079B" w14:textId="77777777" w:rsidTr="005F50EE">
        <w:tc>
          <w:tcPr>
            <w:tcW w:w="5104" w:type="dxa"/>
          </w:tcPr>
          <w:p w14:paraId="73BD22E2" w14:textId="77777777" w:rsidR="00477C89" w:rsidRPr="00FE42A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9F01DEE" w14:textId="77777777" w:rsidR="00477C89" w:rsidRPr="00A77E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CA28718" w14:textId="77777777" w:rsidTr="005F50EE">
        <w:tc>
          <w:tcPr>
            <w:tcW w:w="5104" w:type="dxa"/>
          </w:tcPr>
          <w:p w14:paraId="2418BBF7" w14:textId="0F974ACE" w:rsidR="00477C89" w:rsidRPr="00671DC6" w:rsidRDefault="00477C89"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La date d'entrée en vigueur est prévue au 1er janvier 2028. </w:t>
            </w:r>
            <w:r w:rsidR="005D0692" w:rsidRPr="00671DC6">
              <w:rPr>
                <w:rFonts w:ascii="Arial" w:hAnsi="Arial" w:cs="Arial"/>
                <w:lang w:val="fr-FR"/>
              </w:rPr>
              <w:t xml:space="preserve">La date d'entrée en vigueur sera alignée sur la réforme de la nomenclature et sur la réforme du financement des hôpitaux. </w:t>
            </w:r>
          </w:p>
        </w:tc>
        <w:tc>
          <w:tcPr>
            <w:tcW w:w="5104" w:type="dxa"/>
          </w:tcPr>
          <w:p w14:paraId="63EFABE6" w14:textId="15AB0242" w:rsidR="00477C89" w:rsidRPr="005D0692" w:rsidRDefault="00477C89"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De datum van inwerkingtreding wordt voorzien op 1 januari 2028.</w:t>
            </w:r>
            <w:r w:rsidR="005D0692" w:rsidRPr="00671DC6">
              <w:rPr>
                <w:lang w:val="nl-NL"/>
              </w:rPr>
              <w:t xml:space="preserve"> </w:t>
            </w:r>
            <w:r w:rsidR="005D0692" w:rsidRPr="00671DC6">
              <w:rPr>
                <w:rFonts w:ascii="Arial" w:hAnsi="Arial" w:cs="Arial"/>
                <w:lang w:val="nl-NL"/>
              </w:rPr>
              <w:t xml:space="preserve">De datum van inwerkingtreding wordt gealigneerd met de hervorming van de nomenclatuur en de hervorming van de ziekenhuisfinanciering. </w:t>
            </w:r>
          </w:p>
        </w:tc>
      </w:tr>
      <w:tr w:rsidR="00477C89" w:rsidRPr="00A827F1" w14:paraId="5987FB75" w14:textId="77777777" w:rsidTr="005F50EE">
        <w:tc>
          <w:tcPr>
            <w:tcW w:w="5104" w:type="dxa"/>
          </w:tcPr>
          <w:p w14:paraId="1B7BC3E2" w14:textId="77777777" w:rsidR="00477C89" w:rsidRPr="005D069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61688B8" w14:textId="77777777" w:rsidR="00477C89" w:rsidRPr="005D0692"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55740C07" w14:textId="77777777" w:rsidTr="005F50EE">
        <w:tc>
          <w:tcPr>
            <w:tcW w:w="5104" w:type="dxa"/>
          </w:tcPr>
          <w:p w14:paraId="77659D46" w14:textId="40F73A8C" w:rsidR="00477C89" w:rsidRPr="00720A5F" w:rsidRDefault="00477C89" w:rsidP="00477C89">
            <w:pPr>
              <w:tabs>
                <w:tab w:val="left" w:pos="4468"/>
                <w:tab w:val="left" w:pos="5643"/>
                <w:tab w:val="left" w:pos="9747"/>
              </w:tabs>
              <w:spacing w:after="0" w:line="240" w:lineRule="auto"/>
              <w:jc w:val="both"/>
              <w:rPr>
                <w:rFonts w:ascii="Arial" w:hAnsi="Arial" w:cs="Arial"/>
                <w:lang w:val="fr-FR"/>
              </w:rPr>
            </w:pPr>
            <w:r w:rsidRPr="00720A5F">
              <w:rPr>
                <w:rFonts w:ascii="Arial" w:hAnsi="Arial" w:cs="Arial"/>
                <w:lang w:val="fr-FR"/>
              </w:rPr>
              <w:t xml:space="preserve">Vu </w:t>
            </w:r>
            <w:r>
              <w:rPr>
                <w:rFonts w:ascii="Arial" w:hAnsi="Arial" w:cs="Arial"/>
                <w:lang w:val="fr-FR"/>
              </w:rPr>
              <w:t xml:space="preserve">que </w:t>
            </w:r>
            <w:r w:rsidRPr="00720A5F">
              <w:rPr>
                <w:rFonts w:ascii="Arial" w:hAnsi="Arial" w:cs="Arial"/>
                <w:lang w:val="fr-FR"/>
              </w:rPr>
              <w:t xml:space="preserve">l’article </w:t>
            </w:r>
            <w:r w:rsidRPr="00D83D55">
              <w:rPr>
                <w:rFonts w:ascii="Arial" w:hAnsi="Arial" w:cs="Arial"/>
                <w:highlight w:val="magenta"/>
                <w:lang w:val="fr-FR"/>
              </w:rPr>
              <w:t>X+43</w:t>
            </w:r>
            <w:r w:rsidRPr="00720A5F">
              <w:rPr>
                <w:rFonts w:ascii="Arial" w:hAnsi="Arial" w:cs="Arial"/>
                <w:lang w:val="fr-FR"/>
              </w:rPr>
              <w:t xml:space="preserve"> clarifie une mesure existante, son entrée en vigueur est alignée sur la date d’entrée en </w:t>
            </w:r>
            <w:r>
              <w:rPr>
                <w:rFonts w:ascii="Arial" w:hAnsi="Arial" w:cs="Arial"/>
                <w:lang w:val="fr-FR"/>
              </w:rPr>
              <w:t>vigueur</w:t>
            </w:r>
            <w:r w:rsidRPr="00720A5F">
              <w:rPr>
                <w:rFonts w:ascii="Arial" w:hAnsi="Arial" w:cs="Arial"/>
                <w:lang w:val="fr-FR"/>
              </w:rPr>
              <w:t xml:space="preserve"> de la mesure existante.</w:t>
            </w:r>
          </w:p>
        </w:tc>
        <w:tc>
          <w:tcPr>
            <w:tcW w:w="5104" w:type="dxa"/>
          </w:tcPr>
          <w:p w14:paraId="104F837D" w14:textId="673DE213" w:rsidR="00477C89" w:rsidRPr="00720A5F" w:rsidRDefault="00477C89" w:rsidP="00477C89">
            <w:pPr>
              <w:tabs>
                <w:tab w:val="left" w:pos="4468"/>
                <w:tab w:val="left" w:pos="5643"/>
                <w:tab w:val="left" w:pos="9747"/>
              </w:tabs>
              <w:spacing w:after="0" w:line="240" w:lineRule="auto"/>
              <w:jc w:val="both"/>
              <w:rPr>
                <w:rFonts w:ascii="Arial" w:hAnsi="Arial" w:cs="Arial"/>
                <w:lang w:val="nl-NL"/>
              </w:rPr>
            </w:pPr>
            <w:r w:rsidRPr="00720A5F">
              <w:rPr>
                <w:rFonts w:ascii="Arial" w:hAnsi="Arial" w:cs="Arial"/>
                <w:lang w:val="nl-NL"/>
              </w:rPr>
              <w:t xml:space="preserve">Gezien artikel </w:t>
            </w:r>
            <w:r w:rsidRPr="00D83D55">
              <w:rPr>
                <w:rFonts w:ascii="Arial" w:hAnsi="Arial" w:cs="Arial"/>
                <w:highlight w:val="magenta"/>
                <w:lang w:val="nl-NL"/>
              </w:rPr>
              <w:t>X+43</w:t>
            </w:r>
            <w:r w:rsidRPr="00720A5F">
              <w:rPr>
                <w:rFonts w:ascii="Arial" w:hAnsi="Arial" w:cs="Arial"/>
                <w:lang w:val="nl-NL"/>
              </w:rPr>
              <w:t xml:space="preserve"> een verduidelijking vormt van een bestaande maatregel, wordt de inwerkingtreding gealigneerd op de datum van inwerkingtreding van de bestaande maatregel.</w:t>
            </w:r>
          </w:p>
        </w:tc>
      </w:tr>
      <w:tr w:rsidR="00477C89" w:rsidRPr="00A827F1" w14:paraId="3ADC0243" w14:textId="77777777" w:rsidTr="005F50EE">
        <w:tc>
          <w:tcPr>
            <w:tcW w:w="5104" w:type="dxa"/>
          </w:tcPr>
          <w:p w14:paraId="27F5D1A1" w14:textId="77777777" w:rsidR="00477C89" w:rsidRPr="00720A5F"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C77CC0E" w14:textId="77777777" w:rsidR="00477C89" w:rsidRPr="00720A5F" w:rsidRDefault="00477C89" w:rsidP="00477C89">
            <w:pPr>
              <w:tabs>
                <w:tab w:val="left" w:pos="4468"/>
                <w:tab w:val="left" w:pos="5643"/>
                <w:tab w:val="left" w:pos="9747"/>
              </w:tabs>
              <w:spacing w:after="0" w:line="240" w:lineRule="auto"/>
              <w:jc w:val="both"/>
              <w:rPr>
                <w:rFonts w:ascii="Arial" w:hAnsi="Arial" w:cs="Arial"/>
                <w:lang w:val="nl-NL"/>
              </w:rPr>
            </w:pPr>
          </w:p>
        </w:tc>
      </w:tr>
      <w:bookmarkEnd w:id="10"/>
      <w:tr w:rsidR="00477C89" w:rsidRPr="00A827F1" w14:paraId="2855EBA3" w14:textId="77777777" w:rsidTr="005F50EE">
        <w:tc>
          <w:tcPr>
            <w:tcW w:w="5104" w:type="dxa"/>
          </w:tcPr>
          <w:p w14:paraId="657A0D7E" w14:textId="03722F8C" w:rsidR="00477C89" w:rsidRPr="00DF4489" w:rsidRDefault="00477C89" w:rsidP="00477C89">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X+7</w:t>
            </w:r>
            <w:r w:rsidRPr="00DF4489">
              <w:rPr>
                <w:rFonts w:ascii="Arial" w:eastAsia="Times New Roman" w:hAnsi="Arial" w:cs="Arial"/>
                <w:b/>
                <w:i/>
                <w:lang w:val="fr-FR"/>
              </w:rPr>
              <w:t xml:space="preserve"> – </w:t>
            </w:r>
            <w:r>
              <w:rPr>
                <w:rFonts w:ascii="Arial" w:eastAsia="Times New Roman" w:hAnsi="Arial" w:cs="Arial"/>
                <w:b/>
                <w:i/>
                <w:lang w:val="fr-FR"/>
              </w:rPr>
              <w:t>Financement des organisations professionnelles représentatives</w:t>
            </w:r>
          </w:p>
        </w:tc>
        <w:tc>
          <w:tcPr>
            <w:tcW w:w="5104" w:type="dxa"/>
          </w:tcPr>
          <w:p w14:paraId="16647E81" w14:textId="05B53240" w:rsidR="00477C89" w:rsidRPr="00B04B4A" w:rsidRDefault="00477C89" w:rsidP="00477C89">
            <w:pPr>
              <w:spacing w:after="0" w:line="240" w:lineRule="auto"/>
              <w:jc w:val="center"/>
              <w:outlineLvl w:val="0"/>
              <w:rPr>
                <w:rFonts w:ascii="Arial" w:eastAsia="Times New Roman" w:hAnsi="Arial" w:cs="Arial"/>
                <w:i/>
                <w:lang w:val="nl-NL"/>
              </w:rPr>
            </w:pPr>
            <w:commentRangeStart w:id="13"/>
            <w:r w:rsidRPr="00DF4489">
              <w:rPr>
                <w:rFonts w:ascii="Arial" w:eastAsia="Times New Roman" w:hAnsi="Arial" w:cs="Arial"/>
                <w:b/>
                <w:i/>
                <w:lang w:val="nl-BE"/>
              </w:rPr>
              <w:t xml:space="preserve">Afdeling </w:t>
            </w:r>
            <w:r>
              <w:rPr>
                <w:rFonts w:ascii="Arial" w:eastAsia="Times New Roman" w:hAnsi="Arial" w:cs="Arial"/>
                <w:b/>
                <w:i/>
                <w:lang w:val="nl-BE"/>
              </w:rPr>
              <w:t>X+7</w:t>
            </w:r>
            <w:r w:rsidRPr="00DF4489">
              <w:rPr>
                <w:rFonts w:ascii="Arial" w:eastAsia="Times New Roman" w:hAnsi="Arial" w:cs="Arial"/>
                <w:b/>
                <w:i/>
                <w:lang w:val="nl-BE"/>
              </w:rPr>
              <w:t xml:space="preserve"> – </w:t>
            </w:r>
            <w:r w:rsidRPr="00FE42AD">
              <w:rPr>
                <w:rFonts w:ascii="Arial" w:eastAsia="Times New Roman" w:hAnsi="Arial" w:cs="Arial"/>
                <w:b/>
                <w:i/>
                <w:lang w:val="nl-BE"/>
              </w:rPr>
              <w:t xml:space="preserve">Financiering representatieve beroepsorganisaties </w:t>
            </w:r>
            <w:commentRangeEnd w:id="13"/>
            <w:r>
              <w:rPr>
                <w:rStyle w:val="Verwijzingopmerking"/>
              </w:rPr>
              <w:commentReference w:id="13"/>
            </w:r>
          </w:p>
        </w:tc>
      </w:tr>
      <w:tr w:rsidR="00477C89" w:rsidRPr="00A827F1" w14:paraId="58AAEEC3" w14:textId="77777777" w:rsidTr="005F50EE">
        <w:tc>
          <w:tcPr>
            <w:tcW w:w="5104" w:type="dxa"/>
          </w:tcPr>
          <w:p w14:paraId="7AD75BA3"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2E3651E"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0964B4B" w14:textId="77777777" w:rsidTr="005F50EE">
        <w:tc>
          <w:tcPr>
            <w:tcW w:w="5104" w:type="dxa"/>
          </w:tcPr>
          <w:p w14:paraId="309697E4" w14:textId="30BC7603" w:rsidR="00477C89" w:rsidRPr="00671DC6" w:rsidRDefault="00477C89"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L’article 36nonies de la loi coordonnée du 14 juillet 1994 prévoit une habilitation au Roi afin de déterminer, sur proposition de la commission de conventions ou d’accords concernée, les conditions et les modalités du financement des organisations professionnelles représentatives des dispensateurs de soins pour le travail que ces organisations effectuent dans les instances siégeant au sein de l’INAMI. Cet article instaure le principe d’un lien entre ce financement et le nombre de conventionnés dans le secteur concerné. Le financement variable </w:t>
            </w:r>
            <w:r w:rsidR="00797C61" w:rsidRPr="00671DC6">
              <w:rPr>
                <w:rFonts w:ascii="Arial" w:hAnsi="Arial" w:cs="Arial"/>
                <w:lang w:val="fr-FR"/>
              </w:rPr>
              <w:t>s’élève à quinze</w:t>
            </w:r>
            <w:r w:rsidRPr="00671DC6">
              <w:rPr>
                <w:rFonts w:ascii="Arial" w:hAnsi="Arial" w:cs="Arial"/>
                <w:lang w:val="fr-FR"/>
              </w:rPr>
              <w:t xml:space="preserve"> pour cent du financement global par secteur et/ou organisation </w:t>
            </w:r>
            <w:r w:rsidRPr="00671DC6">
              <w:rPr>
                <w:rFonts w:ascii="Arial" w:hAnsi="Arial" w:cs="Arial"/>
                <w:lang w:val="fr-FR"/>
              </w:rPr>
              <w:lastRenderedPageBreak/>
              <w:t xml:space="preserve">professionnelle. </w:t>
            </w:r>
            <w:r w:rsidR="00797C61" w:rsidRPr="00671DC6">
              <w:rPr>
                <w:rFonts w:ascii="Arial" w:hAnsi="Arial" w:cs="Arial"/>
                <w:lang w:val="fr-FR"/>
              </w:rPr>
              <w:t>Le Roi détermine, sur proposition de la commission d’accords concernée</w:t>
            </w:r>
            <w:r w:rsidR="00EF1874" w:rsidRPr="00671DC6">
              <w:rPr>
                <w:lang w:val="fr-FR"/>
              </w:rPr>
              <w:t xml:space="preserve"> -</w:t>
            </w:r>
            <w:r w:rsidR="00EF1874" w:rsidRPr="00671DC6">
              <w:rPr>
                <w:rFonts w:ascii="Arial" w:hAnsi="Arial" w:cs="Arial"/>
                <w:lang w:val="fr-FR"/>
              </w:rPr>
              <w:t>et en l’absence d’une telle proposition, par un arrêté délibéré en Conseil des ministres-,</w:t>
            </w:r>
            <w:r w:rsidR="00797C61" w:rsidRPr="00671DC6">
              <w:rPr>
                <w:rFonts w:ascii="Arial" w:hAnsi="Arial" w:cs="Arial"/>
                <w:lang w:val="fr-FR"/>
              </w:rPr>
              <w:t xml:space="preserve"> les modalités de fixation et de répartition des montants fixes</w:t>
            </w:r>
            <w:r w:rsidR="000F59C3" w:rsidRPr="00671DC6">
              <w:rPr>
                <w:rFonts w:ascii="Arial" w:hAnsi="Arial" w:cs="Arial"/>
                <w:lang w:val="fr-FR"/>
              </w:rPr>
              <w:t xml:space="preserve"> </w:t>
            </w:r>
            <w:r w:rsidR="00750823" w:rsidRPr="00671DC6">
              <w:rPr>
                <w:rFonts w:ascii="Arial" w:hAnsi="Arial" w:cs="Arial"/>
                <w:lang w:val="fr-BE"/>
              </w:rPr>
              <w:t xml:space="preserve">(il peut s'agir d'un montant par organisation et/ou d'un montant par vote ou membre)  </w:t>
            </w:r>
            <w:r w:rsidR="00797C61" w:rsidRPr="00671DC6">
              <w:rPr>
                <w:rFonts w:ascii="Arial" w:hAnsi="Arial" w:cs="Arial"/>
                <w:lang w:val="fr-FR"/>
              </w:rPr>
              <w:t>et variables. L’insertion de ces dispositions légales ne portent pas atteinte aux modalités de financement existantes en la matière, qui visent à une répartition équilibrée du financement entre les différents secteurs ainsi qu’entre les différentes organisations professionnelles représentatives par secteur. Pour les secteurs où se déroulent des élections telles que visées à l’article 211 de la loi coordonnée du 14 juillet 1994, ces dispositions ne sortiront leurs effets qu’à partir de la première élection après l’entrée en vigueur de la présente disposition.</w:t>
            </w:r>
          </w:p>
        </w:tc>
        <w:tc>
          <w:tcPr>
            <w:tcW w:w="5104" w:type="dxa"/>
          </w:tcPr>
          <w:p w14:paraId="1C4DD2A2" w14:textId="4027EE02"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lastRenderedPageBreak/>
              <w:t>Artikel 36nonies van de gecoördineerde wet van 14 juli 1994 voorziet in een machtiging aan de Koning om op voordracht van de betrokken overeenkomsten- of akkoordencommissie de voorwaarden en de modaliteiten te bepalen voor de financiering van de representatieve beroepsorganisaties van de zorgverleners voor het werk dat die organisaties verrichten in de instanties die zitting hebben in het Riziv. Dit artikel voorziet in het principe dat de financiering wordt gelinkt aan het aantal geconventioneerden in de betreffende sector.</w:t>
            </w:r>
            <w:r w:rsidRPr="00671DC6">
              <w:rPr>
                <w:lang w:val="nl-NL"/>
              </w:rPr>
              <w:t xml:space="preserve"> </w:t>
            </w:r>
            <w:r w:rsidRPr="00671DC6">
              <w:rPr>
                <w:rFonts w:ascii="Arial" w:hAnsi="Arial" w:cs="Arial"/>
                <w:lang w:val="nl-NL"/>
              </w:rPr>
              <w:t xml:space="preserve">De variabele financiering </w:t>
            </w:r>
            <w:r w:rsidR="00544355" w:rsidRPr="00671DC6">
              <w:rPr>
                <w:rFonts w:ascii="Arial" w:hAnsi="Arial" w:cs="Arial"/>
                <w:lang w:val="nl-NL"/>
              </w:rPr>
              <w:t>bedraagt vijftien procent</w:t>
            </w:r>
            <w:r w:rsidRPr="00671DC6">
              <w:rPr>
                <w:rFonts w:ascii="Arial" w:hAnsi="Arial" w:cs="Arial"/>
                <w:lang w:val="nl-NL"/>
              </w:rPr>
              <w:t xml:space="preserve"> van de globale financiering per sector en/of </w:t>
            </w:r>
            <w:r w:rsidRPr="00671DC6">
              <w:rPr>
                <w:rFonts w:ascii="Arial" w:hAnsi="Arial" w:cs="Arial"/>
                <w:lang w:val="nl-NL"/>
              </w:rPr>
              <w:lastRenderedPageBreak/>
              <w:t xml:space="preserve">beroepsorganisatie. </w:t>
            </w:r>
            <w:r w:rsidR="00544355" w:rsidRPr="00671DC6">
              <w:rPr>
                <w:rFonts w:ascii="Arial" w:hAnsi="Arial" w:cs="Arial"/>
                <w:lang w:val="nl-NL"/>
              </w:rPr>
              <w:t>De Koning bepaalt op voorstel van de betrokken akkoordencommissie</w:t>
            </w:r>
            <w:r w:rsidR="00EF1874" w:rsidRPr="00671DC6">
              <w:rPr>
                <w:rFonts w:ascii="Arial" w:hAnsi="Arial" w:cs="Arial"/>
                <w:lang w:val="nl-NL"/>
              </w:rPr>
              <w:t xml:space="preserve"> -en bij afwezigheid van dergelijk voorstel bij een in Ministerraad overlegd besluit-</w:t>
            </w:r>
            <w:r w:rsidR="00544355" w:rsidRPr="00671DC6">
              <w:rPr>
                <w:rFonts w:ascii="Arial" w:hAnsi="Arial" w:cs="Arial"/>
                <w:lang w:val="nl-NL"/>
              </w:rPr>
              <w:t xml:space="preserve"> de modaliteiten inzake bepaling en verdeling van het vaste </w:t>
            </w:r>
            <w:r w:rsidR="00BA35C3" w:rsidRPr="00671DC6">
              <w:rPr>
                <w:rFonts w:ascii="Arial" w:hAnsi="Arial" w:cs="Arial"/>
                <w:lang w:val="nl-NL"/>
              </w:rPr>
              <w:t>(dit kan zowel een bedrag per organisatie en</w:t>
            </w:r>
            <w:r w:rsidR="00C57C3F" w:rsidRPr="00671DC6">
              <w:rPr>
                <w:rFonts w:ascii="Arial" w:hAnsi="Arial" w:cs="Arial"/>
                <w:lang w:val="nl-NL"/>
              </w:rPr>
              <w:t xml:space="preserve">/of een </w:t>
            </w:r>
            <w:r w:rsidR="00453A15" w:rsidRPr="00671DC6">
              <w:rPr>
                <w:rFonts w:ascii="Arial" w:hAnsi="Arial" w:cs="Arial"/>
                <w:lang w:val="nl-NL"/>
              </w:rPr>
              <w:t xml:space="preserve">vast </w:t>
            </w:r>
            <w:r w:rsidR="00C57C3F" w:rsidRPr="00671DC6">
              <w:rPr>
                <w:rFonts w:ascii="Arial" w:hAnsi="Arial" w:cs="Arial"/>
                <w:lang w:val="nl-NL"/>
              </w:rPr>
              <w:t xml:space="preserve">bedrag per stem of lid zijn) </w:t>
            </w:r>
            <w:r w:rsidR="00544355" w:rsidRPr="00671DC6">
              <w:rPr>
                <w:rFonts w:ascii="Arial" w:hAnsi="Arial" w:cs="Arial"/>
                <w:lang w:val="nl-NL"/>
              </w:rPr>
              <w:t>en het variabele bedrag. Het invoegen van deze wettelijke bepalingen doet weliswaar geen afbreuk aan de ter zake bestaande financieringsmodaliteiten die gericht zijn op de evenwichtige verdeling van de financiering tussen zowel de verschillende sectoren als tussen de verschillende representatieve beroepsorganisaties per sector. Voor de sectoren waar verkiezingen gebeuren zoals bedoeld in artikel 211 van de gecoördineerde wet van 14 juli 1994, zullen deze bepalingen pas uitwerking hebben vanaf de eerste verkiezing na de inwerkingtreding van deze bepaling.</w:t>
            </w:r>
          </w:p>
        </w:tc>
      </w:tr>
      <w:tr w:rsidR="00544355" w:rsidRPr="00A827F1" w14:paraId="75DE674E" w14:textId="77777777" w:rsidTr="005F50EE">
        <w:tc>
          <w:tcPr>
            <w:tcW w:w="5104" w:type="dxa"/>
          </w:tcPr>
          <w:p w14:paraId="324C9277" w14:textId="77777777" w:rsidR="00544355" w:rsidRPr="00DF4489" w:rsidRDefault="00544355"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E9BB0E7" w14:textId="77777777" w:rsidR="00544355" w:rsidRPr="00DF4489" w:rsidRDefault="00544355" w:rsidP="00477C89">
            <w:pPr>
              <w:tabs>
                <w:tab w:val="left" w:pos="4468"/>
                <w:tab w:val="left" w:pos="5643"/>
                <w:tab w:val="left" w:pos="9747"/>
              </w:tabs>
              <w:spacing w:after="0" w:line="240" w:lineRule="auto"/>
              <w:jc w:val="both"/>
              <w:rPr>
                <w:rFonts w:ascii="Arial" w:hAnsi="Arial" w:cs="Arial"/>
                <w:lang w:val="nl-NL"/>
              </w:rPr>
            </w:pPr>
          </w:p>
        </w:tc>
      </w:tr>
      <w:tr w:rsidR="00544355" w:rsidRPr="00A827F1" w14:paraId="05DB26B4" w14:textId="77777777" w:rsidTr="005F50EE">
        <w:tc>
          <w:tcPr>
            <w:tcW w:w="5104" w:type="dxa"/>
          </w:tcPr>
          <w:p w14:paraId="715C3A24" w14:textId="5DC899BA" w:rsidR="00544355" w:rsidRPr="00544355" w:rsidRDefault="00544355" w:rsidP="00477C89">
            <w:pPr>
              <w:tabs>
                <w:tab w:val="left" w:pos="4468"/>
                <w:tab w:val="left" w:pos="5643"/>
                <w:tab w:val="left" w:pos="9747"/>
              </w:tabs>
              <w:spacing w:after="0" w:line="240" w:lineRule="auto"/>
              <w:jc w:val="both"/>
              <w:rPr>
                <w:rFonts w:ascii="Arial" w:hAnsi="Arial" w:cs="Arial"/>
                <w:lang w:val="fr-FR"/>
              </w:rPr>
            </w:pPr>
            <w:r w:rsidRPr="0063002C">
              <w:rPr>
                <w:rFonts w:ascii="Arial" w:hAnsi="Arial" w:cs="Arial"/>
                <w:lang w:val="fr-FR"/>
              </w:rPr>
              <w:t>La référence aux commissions de conventions est supprimée étant donné que les termes « commissions d’accords » seront désormais utilisés pour tous les secteurs.</w:t>
            </w:r>
          </w:p>
        </w:tc>
        <w:tc>
          <w:tcPr>
            <w:tcW w:w="5104" w:type="dxa"/>
          </w:tcPr>
          <w:p w14:paraId="7A2F5BA1" w14:textId="599134E4" w:rsidR="00544355" w:rsidRPr="00544355" w:rsidRDefault="00544355" w:rsidP="00477C89">
            <w:pPr>
              <w:tabs>
                <w:tab w:val="left" w:pos="4468"/>
                <w:tab w:val="left" w:pos="5643"/>
                <w:tab w:val="left" w:pos="9747"/>
              </w:tabs>
              <w:spacing w:after="0" w:line="240" w:lineRule="auto"/>
              <w:jc w:val="both"/>
              <w:rPr>
                <w:rFonts w:ascii="Arial" w:hAnsi="Arial" w:cs="Arial"/>
                <w:lang w:val="nl-NL"/>
              </w:rPr>
            </w:pPr>
            <w:r w:rsidRPr="00E11D3F">
              <w:rPr>
                <w:rFonts w:ascii="Arial" w:hAnsi="Arial" w:cs="Arial"/>
                <w:lang w:val="nl-NL"/>
              </w:rPr>
              <w:t>De verwijzing naar de overeenkomstencommissies wordt geschrapt gezien voortaan voor alle sectoren de term “akkoordencommissies” zal worden gebruikt.</w:t>
            </w:r>
          </w:p>
        </w:tc>
      </w:tr>
      <w:tr w:rsidR="00477C89" w:rsidRPr="00A827F1" w14:paraId="6B629343" w14:textId="77777777" w:rsidTr="005F50EE">
        <w:tc>
          <w:tcPr>
            <w:tcW w:w="5104" w:type="dxa"/>
          </w:tcPr>
          <w:p w14:paraId="1182E5D8" w14:textId="77777777" w:rsidR="00477C89" w:rsidRPr="00544355"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5B8535A" w14:textId="77777777" w:rsidR="00477C89" w:rsidRPr="00544355"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325B65B" w14:textId="77777777" w:rsidTr="005F50EE">
        <w:tc>
          <w:tcPr>
            <w:tcW w:w="5104" w:type="dxa"/>
          </w:tcPr>
          <w:p w14:paraId="34D0EB0E" w14:textId="5F7EC303" w:rsidR="00477C89" w:rsidRPr="00DF4489" w:rsidRDefault="00477C89" w:rsidP="00477C89">
            <w:pPr>
              <w:spacing w:after="0" w:line="240" w:lineRule="auto"/>
              <w:jc w:val="center"/>
              <w:outlineLvl w:val="0"/>
              <w:rPr>
                <w:rFonts w:ascii="Arial" w:eastAsia="Times New Roman" w:hAnsi="Arial" w:cs="Arial"/>
                <w:b/>
                <w:i/>
                <w:lang w:val="fr-FR"/>
              </w:rPr>
            </w:pPr>
            <w:bookmarkStart w:id="14" w:name="_Hlk192512047"/>
            <w:bookmarkStart w:id="15" w:name="_Hlk195188559"/>
            <w:r w:rsidRPr="00DF4489">
              <w:rPr>
                <w:rFonts w:ascii="Arial" w:eastAsia="Times New Roman" w:hAnsi="Arial" w:cs="Arial"/>
                <w:b/>
                <w:i/>
                <w:lang w:val="fr-FR"/>
              </w:rPr>
              <w:t xml:space="preserve">Section </w:t>
            </w:r>
            <w:r>
              <w:rPr>
                <w:rFonts w:ascii="Arial" w:eastAsia="Times New Roman" w:hAnsi="Arial" w:cs="Arial"/>
                <w:b/>
                <w:i/>
                <w:lang w:val="fr-FR"/>
              </w:rPr>
              <w:t>X+8</w:t>
            </w:r>
            <w:r w:rsidRPr="00DF4489">
              <w:rPr>
                <w:rFonts w:ascii="Arial" w:eastAsia="Times New Roman" w:hAnsi="Arial" w:cs="Arial"/>
                <w:b/>
                <w:i/>
                <w:lang w:val="fr-FR"/>
              </w:rPr>
              <w:t xml:space="preserve"> – </w:t>
            </w:r>
            <w:r>
              <w:rPr>
                <w:rFonts w:ascii="Arial" w:eastAsia="Times New Roman" w:hAnsi="Arial" w:cs="Arial"/>
                <w:b/>
                <w:i/>
                <w:lang w:val="fr-FR"/>
              </w:rPr>
              <w:t>Obligation d’utilisation de services électroniques par les dispensateurs de soins</w:t>
            </w:r>
          </w:p>
        </w:tc>
        <w:tc>
          <w:tcPr>
            <w:tcW w:w="5104" w:type="dxa"/>
          </w:tcPr>
          <w:p w14:paraId="4DD6591E" w14:textId="4F85DF96" w:rsidR="00477C89" w:rsidRPr="00B04B4A" w:rsidRDefault="00477C89" w:rsidP="00477C89">
            <w:pPr>
              <w:spacing w:after="0" w:line="240" w:lineRule="auto"/>
              <w:jc w:val="center"/>
              <w:outlineLvl w:val="0"/>
              <w:rPr>
                <w:rFonts w:ascii="Arial" w:eastAsia="Times New Roman" w:hAnsi="Arial" w:cs="Arial"/>
                <w:i/>
                <w:lang w:val="nl-NL"/>
              </w:rPr>
            </w:pPr>
            <w:commentRangeStart w:id="16"/>
            <w:r w:rsidRPr="00DF4489">
              <w:rPr>
                <w:rFonts w:ascii="Arial" w:eastAsia="Times New Roman" w:hAnsi="Arial" w:cs="Arial"/>
                <w:b/>
                <w:i/>
                <w:lang w:val="nl-BE"/>
              </w:rPr>
              <w:t xml:space="preserve">Afdeling </w:t>
            </w:r>
            <w:r>
              <w:rPr>
                <w:rFonts w:ascii="Arial" w:eastAsia="Times New Roman" w:hAnsi="Arial" w:cs="Arial"/>
                <w:b/>
                <w:i/>
                <w:lang w:val="nl-BE"/>
              </w:rPr>
              <w:t>X+8</w:t>
            </w:r>
            <w:r w:rsidRPr="00DF4489">
              <w:rPr>
                <w:rFonts w:ascii="Arial" w:eastAsia="Times New Roman" w:hAnsi="Arial" w:cs="Arial"/>
                <w:b/>
                <w:i/>
                <w:lang w:val="nl-BE"/>
              </w:rPr>
              <w:t xml:space="preserve"> – </w:t>
            </w:r>
            <w:r>
              <w:rPr>
                <w:rFonts w:ascii="Arial" w:eastAsia="Times New Roman" w:hAnsi="Arial" w:cs="Arial"/>
                <w:b/>
                <w:i/>
                <w:lang w:val="nl-BE"/>
              </w:rPr>
              <w:t>Verplicht gebruik van elektronische diensten door zorgverleners</w:t>
            </w:r>
            <w:r w:rsidDel="00CA3855">
              <w:rPr>
                <w:rFonts w:ascii="Arial" w:eastAsia="Times New Roman" w:hAnsi="Arial" w:cs="Arial"/>
                <w:b/>
                <w:i/>
                <w:lang w:val="nl-BE"/>
              </w:rPr>
              <w:t xml:space="preserve"> </w:t>
            </w:r>
            <w:commentRangeEnd w:id="16"/>
            <w:r>
              <w:rPr>
                <w:rStyle w:val="Verwijzingopmerking"/>
              </w:rPr>
              <w:commentReference w:id="16"/>
            </w:r>
          </w:p>
        </w:tc>
      </w:tr>
      <w:bookmarkEnd w:id="14"/>
      <w:tr w:rsidR="00477C89" w:rsidRPr="00A827F1" w14:paraId="25AA9D84" w14:textId="77777777" w:rsidTr="005F50EE">
        <w:tc>
          <w:tcPr>
            <w:tcW w:w="5104" w:type="dxa"/>
          </w:tcPr>
          <w:p w14:paraId="0BF42236"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12D88B1" w14:textId="295A657D"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411B3B37" w14:textId="77777777" w:rsidTr="005F50EE">
        <w:tc>
          <w:tcPr>
            <w:tcW w:w="5104" w:type="dxa"/>
          </w:tcPr>
          <w:p w14:paraId="2759F1D7" w14:textId="1FA0BA2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bookmarkStart w:id="17" w:name="_Hlk195199368"/>
            <w:r w:rsidRPr="00EE6F91">
              <w:rPr>
                <w:rFonts w:ascii="Arial" w:hAnsi="Arial" w:cs="Arial"/>
                <w:b/>
                <w:bCs/>
                <w:lang w:val="nl-NL"/>
              </w:rPr>
              <w:t>Art. X</w:t>
            </w:r>
            <w:r>
              <w:rPr>
                <w:rFonts w:ascii="Arial" w:hAnsi="Arial" w:cs="Arial"/>
                <w:b/>
                <w:bCs/>
                <w:lang w:val="nl-NL"/>
              </w:rPr>
              <w:t>+48</w:t>
            </w:r>
          </w:p>
        </w:tc>
        <w:tc>
          <w:tcPr>
            <w:tcW w:w="5104" w:type="dxa"/>
          </w:tcPr>
          <w:p w14:paraId="409F7A14" w14:textId="2E20B13D"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+48</w:t>
            </w:r>
          </w:p>
        </w:tc>
      </w:tr>
      <w:bookmarkEnd w:id="15"/>
      <w:bookmarkEnd w:id="17"/>
      <w:tr w:rsidR="00477C89" w:rsidRPr="00310C4C" w14:paraId="482765EC" w14:textId="77777777" w:rsidTr="005F50EE">
        <w:tc>
          <w:tcPr>
            <w:tcW w:w="5104" w:type="dxa"/>
          </w:tcPr>
          <w:p w14:paraId="07EFFFB8" w14:textId="78F94680" w:rsidR="00477C89" w:rsidRPr="00DF4489"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D69930B" w14:textId="0BACA316"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86652D3" w14:textId="77777777" w:rsidTr="005F50EE">
        <w:tc>
          <w:tcPr>
            <w:tcW w:w="5104" w:type="dxa"/>
          </w:tcPr>
          <w:p w14:paraId="1E0F8FD0" w14:textId="2EC3444F" w:rsidR="00477C89" w:rsidRPr="00D368E7" w:rsidRDefault="00477C89" w:rsidP="00477C89">
            <w:pPr>
              <w:tabs>
                <w:tab w:val="left" w:pos="4468"/>
                <w:tab w:val="left" w:pos="5643"/>
                <w:tab w:val="left" w:pos="9747"/>
              </w:tabs>
              <w:spacing w:after="0" w:line="240" w:lineRule="auto"/>
              <w:jc w:val="both"/>
              <w:rPr>
                <w:rFonts w:ascii="Arial" w:hAnsi="Arial" w:cs="Arial"/>
                <w:lang w:val="fr-FR"/>
              </w:rPr>
            </w:pPr>
            <w:r w:rsidRPr="00D368E7">
              <w:rPr>
                <w:rFonts w:ascii="Arial" w:hAnsi="Arial" w:cs="Arial"/>
                <w:lang w:val="fr-FR"/>
              </w:rPr>
              <w:t>Cet article vise à compléter la procédure prévue à l'article 53, § 1</w:t>
            </w:r>
            <w:r w:rsidRPr="00D368E7">
              <w:rPr>
                <w:rFonts w:ascii="Arial" w:hAnsi="Arial" w:cs="Arial"/>
                <w:vertAlign w:val="superscript"/>
                <w:lang w:val="fr-FR"/>
              </w:rPr>
              <w:t>er</w:t>
            </w:r>
            <w:r w:rsidRPr="00D368E7">
              <w:rPr>
                <w:rFonts w:ascii="Arial" w:hAnsi="Arial" w:cs="Arial"/>
                <w:lang w:val="fr-FR"/>
              </w:rPr>
              <w:t>, de la loi coordonnée afin de rendre obligatoire le transfert de données numérique dans et/ou en dehors du cadre du régime du tiers payant entre les dispensateurs de soins et les organismes assureurs.</w:t>
            </w:r>
          </w:p>
        </w:tc>
        <w:tc>
          <w:tcPr>
            <w:tcW w:w="5104" w:type="dxa"/>
          </w:tcPr>
          <w:p w14:paraId="560CE97D" w14:textId="501348D6"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Dit artikel heeft als doel om een aanvulling aan te brengen aan het proces zoals voorzien door artikel 53, §</w:t>
            </w:r>
            <w:r>
              <w:rPr>
                <w:rFonts w:ascii="Arial" w:hAnsi="Arial" w:cs="Arial"/>
                <w:lang w:val="nl-NL"/>
              </w:rPr>
              <w:t xml:space="preserve"> </w:t>
            </w:r>
            <w:r w:rsidRPr="00C51760">
              <w:rPr>
                <w:rFonts w:ascii="Arial" w:hAnsi="Arial" w:cs="Arial"/>
                <w:lang w:val="nl-NL"/>
              </w:rPr>
              <w:t>1</w:t>
            </w:r>
            <w:r>
              <w:rPr>
                <w:rFonts w:ascii="Arial" w:hAnsi="Arial" w:cs="Arial"/>
                <w:lang w:val="nl-NL"/>
              </w:rPr>
              <w:t>,</w:t>
            </w:r>
            <w:r w:rsidRPr="00C51760">
              <w:rPr>
                <w:rFonts w:ascii="Arial" w:hAnsi="Arial" w:cs="Arial"/>
                <w:lang w:val="nl-NL"/>
              </w:rPr>
              <w:t xml:space="preserve"> van de gecoördineerde wet om de digitale gegevensoverdracht binnen en/of buiten het kader van de derdebetalersregeling tussen zorgverleners en verzekeringsinstellingen verplicht te maken.</w:t>
            </w:r>
          </w:p>
        </w:tc>
      </w:tr>
      <w:tr w:rsidR="00477C89" w:rsidRPr="00A827F1" w14:paraId="0DE56EEE" w14:textId="77777777" w:rsidTr="005F50EE">
        <w:tc>
          <w:tcPr>
            <w:tcW w:w="5104" w:type="dxa"/>
          </w:tcPr>
          <w:p w14:paraId="58B066A7" w14:textId="791B6DB1"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25EE78B" w14:textId="0E128F98"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01C91328" w14:textId="77777777" w:rsidTr="005F50EE">
        <w:tc>
          <w:tcPr>
            <w:tcW w:w="5104" w:type="dxa"/>
          </w:tcPr>
          <w:p w14:paraId="5B12E0A2" w14:textId="77777777" w:rsidR="00477C89" w:rsidRPr="00D368E7" w:rsidRDefault="00477C89" w:rsidP="00477C89">
            <w:pPr>
              <w:tabs>
                <w:tab w:val="left" w:pos="4468"/>
                <w:tab w:val="left" w:pos="5643"/>
                <w:tab w:val="left" w:pos="9747"/>
              </w:tabs>
              <w:spacing w:after="0" w:line="240" w:lineRule="auto"/>
              <w:jc w:val="both"/>
              <w:rPr>
                <w:rFonts w:ascii="Arial" w:hAnsi="Arial" w:cs="Arial"/>
                <w:lang w:val="fr-FR"/>
              </w:rPr>
            </w:pPr>
            <w:r w:rsidRPr="00D368E7">
              <w:rPr>
                <w:rFonts w:ascii="Arial" w:hAnsi="Arial" w:cs="Arial"/>
                <w:lang w:val="fr-FR"/>
              </w:rPr>
              <w:t>Le transfert numérique des données entre les dispensateurs de soins et les organismes assureurs en dehors du cadre du régime du tiers payant s'effectue via le service MyCarenet eAttest. Dans ce cadre, l’assuré social paie l'intégralité des honoraires au dispensateur de soins, qui envoie ensuite un eAttest à l'organisme assureur de l’assuré social, ce qui a pour conséquence que l'organisme assureur verse l’intervention prévue par l'assurance obligatoire à l’assuré social.</w:t>
            </w:r>
          </w:p>
          <w:p w14:paraId="6A4AFC7E" w14:textId="77777777" w:rsidR="00477C89" w:rsidRPr="0040457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59C55134" w14:textId="64F60238"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De digitale gegevensoverdracht tussen zorgverleners en verzekeringsinstellingen buiten het kader van de derdebetalersregeling geschiedt door middel van de MyCarenetdienst eAttest. Hierbij betaalt de sociaal verzekerde het volledig honorarium aan de zorgverlener, waarna de zorgverlener een eAttest stuurt naar de verzekeringsinstelling van de sociaal verzekerde met als gevolg dat de verzekeringsinstelling de tegemoetkoming van de verplichte verzekering overmaakt aan de sociaal verzekerde.</w:t>
            </w:r>
          </w:p>
        </w:tc>
      </w:tr>
      <w:tr w:rsidR="00477C89" w:rsidRPr="00A827F1" w14:paraId="0205D85E" w14:textId="77777777" w:rsidTr="005F50EE">
        <w:tc>
          <w:tcPr>
            <w:tcW w:w="5104" w:type="dxa"/>
          </w:tcPr>
          <w:p w14:paraId="5E06B030"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1A214D4"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9A5E3EA" w14:textId="77777777" w:rsidTr="005F50EE">
        <w:tc>
          <w:tcPr>
            <w:tcW w:w="5104" w:type="dxa"/>
          </w:tcPr>
          <w:p w14:paraId="43316F03" w14:textId="22FC05D7" w:rsidR="00477C89" w:rsidRPr="00D368E7" w:rsidRDefault="00477C89" w:rsidP="00477C89">
            <w:pPr>
              <w:tabs>
                <w:tab w:val="left" w:pos="4468"/>
                <w:tab w:val="left" w:pos="5643"/>
                <w:tab w:val="left" w:pos="9747"/>
              </w:tabs>
              <w:spacing w:after="0" w:line="240" w:lineRule="auto"/>
              <w:jc w:val="both"/>
              <w:rPr>
                <w:rFonts w:ascii="Arial" w:hAnsi="Arial" w:cs="Arial"/>
                <w:lang w:val="fr-FR"/>
              </w:rPr>
            </w:pPr>
            <w:r w:rsidRPr="00D368E7">
              <w:rPr>
                <w:rFonts w:ascii="Arial" w:hAnsi="Arial" w:cs="Arial"/>
                <w:lang w:val="fr-FR"/>
              </w:rPr>
              <w:lastRenderedPageBreak/>
              <w:t xml:space="preserve">Le transfert numérique des données entre les dispensateurs de soins et les organismes assureurs dans le cadre du régime du tiers payant s'effectue via le service de facturation électronique de MyCarenet. Le dispensateur de soins facture </w:t>
            </w:r>
            <w:r>
              <w:rPr>
                <w:rFonts w:ascii="Arial" w:hAnsi="Arial" w:cs="Arial"/>
                <w:lang w:val="fr-FR"/>
              </w:rPr>
              <w:t xml:space="preserve">dans ce cas </w:t>
            </w:r>
            <w:r w:rsidRPr="00D368E7">
              <w:rPr>
                <w:rFonts w:ascii="Arial" w:hAnsi="Arial" w:cs="Arial"/>
                <w:lang w:val="fr-FR"/>
              </w:rPr>
              <w:t>directement à l'organisme assureur de l’assuré social le montant pris en charge par l'assurance obligatoire. L’assuré social paie au dispensateur de soins la part du coût des prestations médicales qui est à sa charge.</w:t>
            </w:r>
          </w:p>
        </w:tc>
        <w:tc>
          <w:tcPr>
            <w:tcW w:w="5104" w:type="dxa"/>
          </w:tcPr>
          <w:p w14:paraId="5A7C9D28" w14:textId="4CC010FC"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De digitale gegevensoverdracht tussen zorgverleners en verzekeringsinstellingen binnen het kader van de derdebetalersregeling verloopt door middel van de dienst elektronische facturatie van MyCarenet. Hierbij rekent de zorgverlener de tegemoetkoming van de verplichte verzekering rechtstreeks aan de verzekeringsinstelling van de sociaal verzekerde aan. De sociaal verzekerde betaalt aan de zorgverlener het aandeel in de kostprijs van de geneeskundige verstrekking die te zijner laste is.</w:t>
            </w:r>
          </w:p>
        </w:tc>
      </w:tr>
      <w:tr w:rsidR="00477C89" w:rsidRPr="00A827F1" w14:paraId="14D7F4A0" w14:textId="77777777" w:rsidTr="005F50EE">
        <w:tc>
          <w:tcPr>
            <w:tcW w:w="5104" w:type="dxa"/>
          </w:tcPr>
          <w:p w14:paraId="1B88D69A"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B9D83D8"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155B2F8" w14:textId="77777777" w:rsidTr="005F50EE">
        <w:tc>
          <w:tcPr>
            <w:tcW w:w="5104" w:type="dxa"/>
          </w:tcPr>
          <w:p w14:paraId="55C49706" w14:textId="236E9F41" w:rsidR="00477C89" w:rsidRPr="00D368E7" w:rsidRDefault="00477C89" w:rsidP="00477C89">
            <w:pPr>
              <w:tabs>
                <w:tab w:val="left" w:pos="4468"/>
                <w:tab w:val="left" w:pos="5643"/>
                <w:tab w:val="left" w:pos="9747"/>
              </w:tabs>
              <w:spacing w:after="0" w:line="240" w:lineRule="auto"/>
              <w:jc w:val="both"/>
              <w:rPr>
                <w:rFonts w:ascii="Arial" w:hAnsi="Arial" w:cs="Arial"/>
                <w:lang w:val="fr-FR"/>
              </w:rPr>
            </w:pPr>
            <w:r w:rsidRPr="00D368E7">
              <w:rPr>
                <w:rFonts w:ascii="Arial" w:hAnsi="Arial" w:cs="Arial"/>
                <w:lang w:val="fr-FR"/>
              </w:rPr>
              <w:t>La transmission numérique des données dans le cadre du régime du tiers payant est déjà obligatoire pour les hôpitaux, les laboratoires, les infirmiers à domicile et les maisons médicales en ce qui concerne les forfaits.</w:t>
            </w:r>
          </w:p>
        </w:tc>
        <w:tc>
          <w:tcPr>
            <w:tcW w:w="5104" w:type="dxa"/>
          </w:tcPr>
          <w:p w14:paraId="71E2B564" w14:textId="7F5869F0"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De digitale gegevensoverdracht binnen het kader van de derdebetalersregeling is actueel reeds verplicht voor ziekenhuizen, laboratoria, thuisverpleegkundigen en medische huizen wat de forfaits betreft.</w:t>
            </w:r>
          </w:p>
        </w:tc>
      </w:tr>
      <w:tr w:rsidR="00477C89" w:rsidRPr="00A827F1" w14:paraId="36EC430C" w14:textId="77777777" w:rsidTr="005F50EE">
        <w:tc>
          <w:tcPr>
            <w:tcW w:w="5104" w:type="dxa"/>
          </w:tcPr>
          <w:p w14:paraId="2080C3ED"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6E9158C"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0137CB6" w14:textId="77777777" w:rsidTr="005F50EE">
        <w:tc>
          <w:tcPr>
            <w:tcW w:w="5104" w:type="dxa"/>
          </w:tcPr>
          <w:p w14:paraId="1AE96C0E" w14:textId="742644C0" w:rsidR="00477C89" w:rsidRPr="000E5E32" w:rsidRDefault="00477C89" w:rsidP="00477C89">
            <w:pPr>
              <w:tabs>
                <w:tab w:val="left" w:pos="4468"/>
                <w:tab w:val="left" w:pos="5643"/>
                <w:tab w:val="left" w:pos="9747"/>
              </w:tabs>
              <w:spacing w:after="0" w:line="240" w:lineRule="auto"/>
              <w:jc w:val="both"/>
              <w:rPr>
                <w:rFonts w:ascii="Arial" w:hAnsi="Arial" w:cs="Arial"/>
                <w:lang w:val="fr-FR"/>
              </w:rPr>
            </w:pPr>
            <w:r w:rsidRPr="000E5E32">
              <w:rPr>
                <w:rFonts w:ascii="Arial" w:hAnsi="Arial" w:cs="Arial"/>
                <w:lang w:val="fr-FR"/>
              </w:rPr>
              <w:t>À partir du 1</w:t>
            </w:r>
            <w:r w:rsidRPr="000E5E32">
              <w:rPr>
                <w:rFonts w:ascii="Arial" w:hAnsi="Arial" w:cs="Arial"/>
                <w:vertAlign w:val="superscript"/>
                <w:lang w:val="fr-FR"/>
              </w:rPr>
              <w:t>er</w:t>
            </w:r>
            <w:r w:rsidRPr="000E5E32">
              <w:rPr>
                <w:rFonts w:ascii="Arial" w:hAnsi="Arial" w:cs="Arial"/>
                <w:lang w:val="fr-FR"/>
              </w:rPr>
              <w:t xml:space="preserve"> septembre 2025, la transmission numérique des données dans et en dehors du cadre du régime du tiers payant </w:t>
            </w:r>
            <w:r>
              <w:rPr>
                <w:rFonts w:ascii="Arial" w:hAnsi="Arial" w:cs="Arial"/>
                <w:lang w:val="fr-FR"/>
              </w:rPr>
              <w:t>est rendue</w:t>
            </w:r>
            <w:r w:rsidRPr="000E5E32">
              <w:rPr>
                <w:rFonts w:ascii="Arial" w:hAnsi="Arial" w:cs="Arial"/>
                <w:lang w:val="fr-FR"/>
              </w:rPr>
              <w:t xml:space="preserve"> obligatoire pour les médecins généralistes, les spécialistes et les dentistes.</w:t>
            </w:r>
          </w:p>
        </w:tc>
        <w:tc>
          <w:tcPr>
            <w:tcW w:w="5104" w:type="dxa"/>
          </w:tcPr>
          <w:p w14:paraId="07E3251D" w14:textId="7DE50695"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Vanaf 1 september 2025 wordt de digitale gegevensoverdracht binnen en buiten het kader van de derdebetalersregeling verplicht voor huisartsen, specialisten en tandartsen.</w:t>
            </w:r>
          </w:p>
        </w:tc>
      </w:tr>
      <w:tr w:rsidR="00477C89" w:rsidRPr="00A827F1" w14:paraId="0EE161D7" w14:textId="77777777" w:rsidTr="005F50EE">
        <w:tc>
          <w:tcPr>
            <w:tcW w:w="5104" w:type="dxa"/>
          </w:tcPr>
          <w:p w14:paraId="1CECA214"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D12A219"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0E5E32" w14:paraId="061A6B5E" w14:textId="77777777" w:rsidTr="005F50EE">
        <w:tc>
          <w:tcPr>
            <w:tcW w:w="5104" w:type="dxa"/>
          </w:tcPr>
          <w:p w14:paraId="1F19751F" w14:textId="7534CD74" w:rsidR="00477C89" w:rsidRPr="000E5E32" w:rsidRDefault="00477C89" w:rsidP="00477C89">
            <w:pPr>
              <w:tabs>
                <w:tab w:val="left" w:pos="4468"/>
                <w:tab w:val="left" w:pos="5643"/>
                <w:tab w:val="left" w:pos="9747"/>
              </w:tabs>
              <w:spacing w:after="0" w:line="240" w:lineRule="auto"/>
              <w:jc w:val="both"/>
              <w:rPr>
                <w:rFonts w:ascii="Arial" w:hAnsi="Arial" w:cs="Arial"/>
                <w:lang w:val="fr-FR"/>
              </w:rPr>
            </w:pPr>
            <w:r w:rsidRPr="000E5E32">
              <w:rPr>
                <w:rFonts w:ascii="Arial" w:hAnsi="Arial" w:cs="Arial"/>
                <w:lang w:val="fr-FR"/>
              </w:rPr>
              <w:t>Ces obligations découlent de la procédure prévue à l'article 53, § 1</w:t>
            </w:r>
            <w:r w:rsidRPr="000E5E32">
              <w:rPr>
                <w:rFonts w:ascii="Arial" w:hAnsi="Arial" w:cs="Arial"/>
                <w:vertAlign w:val="superscript"/>
                <w:lang w:val="fr-FR"/>
              </w:rPr>
              <w:t>er</w:t>
            </w:r>
            <w:r w:rsidRPr="000E5E32">
              <w:rPr>
                <w:rFonts w:ascii="Arial" w:hAnsi="Arial" w:cs="Arial"/>
                <w:lang w:val="fr-FR"/>
              </w:rPr>
              <w:t>, alinéas 2, 3 et 4, de la loi coordonnée. Cette procédure a également été suivie pour les laboratoires.</w:t>
            </w:r>
          </w:p>
        </w:tc>
        <w:tc>
          <w:tcPr>
            <w:tcW w:w="5104" w:type="dxa"/>
          </w:tcPr>
          <w:p w14:paraId="2EAEE1D5" w14:textId="20849E6C"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Deze verplichtingen komen voort uit het proces zoals voorzien door artikel 53, §</w:t>
            </w:r>
            <w:r>
              <w:rPr>
                <w:rFonts w:ascii="Arial" w:hAnsi="Arial" w:cs="Arial"/>
                <w:lang w:val="nl-NL"/>
              </w:rPr>
              <w:t xml:space="preserve"> </w:t>
            </w:r>
            <w:r w:rsidRPr="00C51760">
              <w:rPr>
                <w:rFonts w:ascii="Arial" w:hAnsi="Arial" w:cs="Arial"/>
                <w:lang w:val="nl-NL"/>
              </w:rPr>
              <w:t>1, 2de, 3de en 4de lid</w:t>
            </w:r>
            <w:r>
              <w:rPr>
                <w:rFonts w:ascii="Arial" w:hAnsi="Arial" w:cs="Arial"/>
                <w:lang w:val="nl-NL"/>
              </w:rPr>
              <w:t>,</w:t>
            </w:r>
            <w:r w:rsidRPr="00C51760">
              <w:rPr>
                <w:rFonts w:ascii="Arial" w:hAnsi="Arial" w:cs="Arial"/>
                <w:lang w:val="nl-NL"/>
              </w:rPr>
              <w:t xml:space="preserve"> van de gecoördineerde wet. Ook voor de laboratoria werd dit proces gevolgd.</w:t>
            </w:r>
          </w:p>
        </w:tc>
      </w:tr>
      <w:tr w:rsidR="00477C89" w:rsidRPr="000E5E32" w14:paraId="691F0397" w14:textId="77777777" w:rsidTr="005F50EE">
        <w:tc>
          <w:tcPr>
            <w:tcW w:w="5104" w:type="dxa"/>
          </w:tcPr>
          <w:p w14:paraId="5B28C276"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5B919C9"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600AE30D" w14:textId="77777777" w:rsidTr="005F50EE">
        <w:tc>
          <w:tcPr>
            <w:tcW w:w="5104" w:type="dxa"/>
          </w:tcPr>
          <w:p w14:paraId="3677FC08" w14:textId="3714A167" w:rsidR="00477C89" w:rsidRPr="000E5E32" w:rsidRDefault="00477C89" w:rsidP="00477C89">
            <w:pPr>
              <w:tabs>
                <w:tab w:val="left" w:pos="4468"/>
                <w:tab w:val="left" w:pos="5643"/>
                <w:tab w:val="left" w:pos="9747"/>
              </w:tabs>
              <w:spacing w:after="0" w:line="240" w:lineRule="auto"/>
              <w:jc w:val="both"/>
              <w:rPr>
                <w:rFonts w:ascii="Arial" w:hAnsi="Arial" w:cs="Arial"/>
                <w:lang w:val="fr-FR"/>
              </w:rPr>
            </w:pPr>
            <w:r w:rsidRPr="000E5E32">
              <w:rPr>
                <w:rFonts w:ascii="Arial" w:hAnsi="Arial" w:cs="Arial"/>
                <w:lang w:val="fr-FR"/>
              </w:rPr>
              <w:t>Ce processus prévoit que le Roi fixe la date à partir de laquelle le transfert numérique de données dans  et/ou en dehors du cadre du régime du tiers payant est disponible pour une catégorie professionnelle. Deux ans après cette date, le transfert numérique de données dans et/ou en dehors du régime du tiers payant devient obligatoire pour la catégorie professionnelle concernée.</w:t>
            </w:r>
          </w:p>
        </w:tc>
        <w:tc>
          <w:tcPr>
            <w:tcW w:w="5104" w:type="dxa"/>
          </w:tcPr>
          <w:p w14:paraId="340C89B0" w14:textId="1ABE51DB"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Dit proces voorziet dat de Koning vaststelt vanaf welke datum de digitale gegevensoverdracht binnen en/of buiten de derdebetalersregeling beschikbaar is voor een beroepsgroep. Twee jaar te rekenen van deze datum, wordt de digitale gegevensoverdracht binnen en/of buiten de derdebetalersregeling verplicht voor de betrokken beroepsgroep.</w:t>
            </w:r>
          </w:p>
        </w:tc>
      </w:tr>
      <w:tr w:rsidR="00477C89" w:rsidRPr="00A827F1" w14:paraId="5606A496" w14:textId="77777777" w:rsidTr="005F50EE">
        <w:tc>
          <w:tcPr>
            <w:tcW w:w="5104" w:type="dxa"/>
          </w:tcPr>
          <w:p w14:paraId="502E4F3F"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BA2F7BC"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08CB2D5" w14:textId="77777777" w:rsidTr="005F50EE">
        <w:tc>
          <w:tcPr>
            <w:tcW w:w="5104" w:type="dxa"/>
          </w:tcPr>
          <w:p w14:paraId="613BA982" w14:textId="18D89AD7" w:rsidR="00477C89" w:rsidRPr="000E5E32" w:rsidRDefault="00477C89" w:rsidP="00477C89">
            <w:pPr>
              <w:tabs>
                <w:tab w:val="left" w:pos="4468"/>
                <w:tab w:val="left" w:pos="5643"/>
                <w:tab w:val="left" w:pos="9747"/>
              </w:tabs>
              <w:spacing w:after="0" w:line="240" w:lineRule="auto"/>
              <w:jc w:val="both"/>
              <w:rPr>
                <w:rFonts w:ascii="Arial" w:hAnsi="Arial" w:cs="Arial"/>
                <w:lang w:val="fr-FR"/>
              </w:rPr>
            </w:pPr>
            <w:r w:rsidRPr="000E5E32">
              <w:rPr>
                <w:rFonts w:ascii="Arial" w:hAnsi="Arial" w:cs="Arial"/>
                <w:lang w:val="fr-FR"/>
              </w:rPr>
              <w:t>Pour les infirmiers à domicile, la loi stipule clairement que la transmission numérique des données dans le cadre du régime du tiers payant est obligatoire depuis le 1</w:t>
            </w:r>
            <w:r w:rsidRPr="000E5E32">
              <w:rPr>
                <w:rFonts w:ascii="Arial" w:hAnsi="Arial" w:cs="Arial"/>
                <w:vertAlign w:val="superscript"/>
                <w:lang w:val="fr-FR"/>
              </w:rPr>
              <w:t>er</w:t>
            </w:r>
            <w:r w:rsidRPr="000E5E32">
              <w:rPr>
                <w:rFonts w:ascii="Arial" w:hAnsi="Arial" w:cs="Arial"/>
                <w:lang w:val="fr-FR"/>
              </w:rPr>
              <w:t xml:space="preserve"> juillet 2015.</w:t>
            </w:r>
          </w:p>
        </w:tc>
        <w:tc>
          <w:tcPr>
            <w:tcW w:w="5104" w:type="dxa"/>
          </w:tcPr>
          <w:p w14:paraId="48E2D185" w14:textId="1256F004"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Voor de thuisverpleegkundigen werd rechtstreeks in de wet vastgelegd dat de digitale gegevensoverdracht binnen het kader van de derdebetalersregeling verplicht is vanaf 1 juli 2015.</w:t>
            </w:r>
          </w:p>
        </w:tc>
      </w:tr>
      <w:tr w:rsidR="00477C89" w:rsidRPr="00A827F1" w14:paraId="21A1FDDB" w14:textId="77777777" w:rsidTr="005F50EE">
        <w:tc>
          <w:tcPr>
            <w:tcW w:w="5104" w:type="dxa"/>
          </w:tcPr>
          <w:p w14:paraId="5FC045D0"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E4329A8"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DA3F241" w14:textId="77777777" w:rsidTr="005F50EE">
        <w:tc>
          <w:tcPr>
            <w:tcW w:w="5104" w:type="dxa"/>
          </w:tcPr>
          <w:p w14:paraId="7EF1941F" w14:textId="49082EA3" w:rsidR="00477C89" w:rsidRPr="000E5E32" w:rsidRDefault="00477C89" w:rsidP="00477C89">
            <w:pPr>
              <w:tabs>
                <w:tab w:val="left" w:pos="4468"/>
                <w:tab w:val="left" w:pos="5643"/>
                <w:tab w:val="left" w:pos="9747"/>
              </w:tabs>
              <w:spacing w:after="0" w:line="240" w:lineRule="auto"/>
              <w:jc w:val="both"/>
              <w:rPr>
                <w:rFonts w:ascii="Arial" w:hAnsi="Arial" w:cs="Arial"/>
                <w:lang w:val="fr-FR"/>
              </w:rPr>
            </w:pPr>
            <w:r w:rsidRPr="000E5E32">
              <w:rPr>
                <w:rFonts w:ascii="Arial" w:hAnsi="Arial" w:cs="Arial"/>
                <w:lang w:val="fr-FR"/>
              </w:rPr>
              <w:t>De la même manière, il est proposé de stipuler directement dans la loi que les kinésithérapeutes seront tenus, à compter du 1</w:t>
            </w:r>
            <w:r w:rsidRPr="000E5E32">
              <w:rPr>
                <w:rFonts w:ascii="Arial" w:hAnsi="Arial" w:cs="Arial"/>
                <w:vertAlign w:val="superscript"/>
                <w:lang w:val="fr-FR"/>
              </w:rPr>
              <w:t>er</w:t>
            </w:r>
            <w:r>
              <w:rPr>
                <w:rFonts w:ascii="Arial" w:hAnsi="Arial" w:cs="Arial"/>
                <w:lang w:val="fr-FR"/>
              </w:rPr>
              <w:t xml:space="preserve"> janvier 2027</w:t>
            </w:r>
            <w:r w:rsidRPr="000E5E32">
              <w:rPr>
                <w:rFonts w:ascii="Arial" w:hAnsi="Arial" w:cs="Arial"/>
                <w:lang w:val="fr-FR"/>
              </w:rPr>
              <w:t xml:space="preserve">, </w:t>
            </w:r>
            <w:r>
              <w:rPr>
                <w:rFonts w:ascii="Arial" w:hAnsi="Arial" w:cs="Arial"/>
                <w:lang w:val="fr-FR"/>
              </w:rPr>
              <w:t>d’utiliser les services suivants de transmission de données électroniques</w:t>
            </w:r>
            <w:r w:rsidRPr="000E5E32">
              <w:rPr>
                <w:rFonts w:ascii="Arial" w:hAnsi="Arial" w:cs="Arial"/>
                <w:lang w:val="fr-FR"/>
              </w:rPr>
              <w:t xml:space="preserve"> aux organismes assureurs :</w:t>
            </w:r>
          </w:p>
        </w:tc>
        <w:tc>
          <w:tcPr>
            <w:tcW w:w="5104" w:type="dxa"/>
          </w:tcPr>
          <w:p w14:paraId="14CC534A" w14:textId="59F207BB"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 xml:space="preserve">Op eenzelfde wijze wordt er voorgesteld om voor kinesitherapeuten rechtstreeks in de wet vast te stellen dat de volgende digitale gegevensoverdrachten met de verzekeringsinstellingen verplicht worden op 1 </w:t>
            </w:r>
            <w:r>
              <w:rPr>
                <w:rFonts w:ascii="Arial" w:hAnsi="Arial" w:cs="Arial"/>
                <w:lang w:val="nl-NL"/>
              </w:rPr>
              <w:t>januari 2027</w:t>
            </w:r>
            <w:r w:rsidRPr="00C51760">
              <w:rPr>
                <w:rFonts w:ascii="Arial" w:hAnsi="Arial" w:cs="Arial"/>
                <w:lang w:val="nl-NL"/>
              </w:rPr>
              <w:t>:</w:t>
            </w:r>
          </w:p>
        </w:tc>
      </w:tr>
      <w:tr w:rsidR="00477C89" w:rsidRPr="00A827F1" w14:paraId="7EB55A05" w14:textId="77777777" w:rsidTr="005F50EE">
        <w:tc>
          <w:tcPr>
            <w:tcW w:w="5104" w:type="dxa"/>
          </w:tcPr>
          <w:p w14:paraId="3891420C"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79F8B72"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6A3842E" w14:textId="77777777" w:rsidTr="005F50EE">
        <w:tc>
          <w:tcPr>
            <w:tcW w:w="5104" w:type="dxa"/>
          </w:tcPr>
          <w:p w14:paraId="0CAAB027" w14:textId="650BD16E" w:rsidR="00477C89" w:rsidRPr="000E5E32"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fr-FR"/>
              </w:rPr>
            </w:pPr>
            <w:r w:rsidRPr="000E5E32">
              <w:rPr>
                <w:rFonts w:ascii="Arial" w:hAnsi="Arial" w:cs="Arial"/>
                <w:lang w:val="fr-FR"/>
              </w:rPr>
              <w:lastRenderedPageBreak/>
              <w:t>Transmission numérique de données dans le cadre du régime du tiers payant (service de facturation électronique de MyCarenet) ;</w:t>
            </w:r>
          </w:p>
        </w:tc>
        <w:tc>
          <w:tcPr>
            <w:tcW w:w="5104" w:type="dxa"/>
          </w:tcPr>
          <w:p w14:paraId="0B34761A" w14:textId="282AF7FA" w:rsidR="00477C89" w:rsidRPr="00C51760"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nl-NL"/>
              </w:rPr>
            </w:pPr>
            <w:r w:rsidRPr="00C51760">
              <w:rPr>
                <w:rFonts w:ascii="Arial" w:hAnsi="Arial" w:cs="Arial"/>
                <w:lang w:val="nl-NL"/>
              </w:rPr>
              <w:t>Digitale gegevensoverdracht binnen het kader van de derdebetalersregeling (dienst elektronische facturatie van MyCarenet)</w:t>
            </w:r>
            <w:r>
              <w:rPr>
                <w:rFonts w:ascii="Arial" w:hAnsi="Arial" w:cs="Arial"/>
                <w:lang w:val="nl-NL"/>
              </w:rPr>
              <w:t>;</w:t>
            </w:r>
          </w:p>
        </w:tc>
      </w:tr>
      <w:tr w:rsidR="00477C89" w:rsidRPr="00A827F1" w14:paraId="2B4828EE" w14:textId="77777777" w:rsidTr="005F50EE">
        <w:tc>
          <w:tcPr>
            <w:tcW w:w="5104" w:type="dxa"/>
          </w:tcPr>
          <w:p w14:paraId="3E0A83CE"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46F421D"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0E3187D5" w14:textId="77777777" w:rsidTr="005F50EE">
        <w:tc>
          <w:tcPr>
            <w:tcW w:w="5104" w:type="dxa"/>
          </w:tcPr>
          <w:p w14:paraId="0DCB1567" w14:textId="2FDF0E2D" w:rsidR="00477C89" w:rsidRPr="000E5E32"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fr-FR"/>
              </w:rPr>
            </w:pPr>
            <w:r w:rsidRPr="000E5E32">
              <w:rPr>
                <w:rFonts w:ascii="Arial" w:hAnsi="Arial" w:cs="Arial"/>
                <w:lang w:val="fr-FR"/>
              </w:rPr>
              <w:t>Transmission numérique de données en dehors du cadre du régime du tiers payant (service eAttest de MyCarenet) ;</w:t>
            </w:r>
          </w:p>
        </w:tc>
        <w:tc>
          <w:tcPr>
            <w:tcW w:w="5104" w:type="dxa"/>
          </w:tcPr>
          <w:p w14:paraId="4300BBCD" w14:textId="2B35946D" w:rsidR="00477C89" w:rsidRPr="00C51760"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nl-NL"/>
              </w:rPr>
            </w:pPr>
            <w:r w:rsidRPr="00C51760">
              <w:rPr>
                <w:rFonts w:ascii="Arial" w:hAnsi="Arial" w:cs="Arial"/>
                <w:lang w:val="nl-NL"/>
              </w:rPr>
              <w:t>Digitale gegevensoverdracht buiten het kader van de derdebetalersregeling (dienst eAttest van MyCarenet)</w:t>
            </w:r>
            <w:r>
              <w:rPr>
                <w:rFonts w:ascii="Arial" w:hAnsi="Arial" w:cs="Arial"/>
                <w:lang w:val="nl-NL"/>
              </w:rPr>
              <w:t>;</w:t>
            </w:r>
          </w:p>
        </w:tc>
      </w:tr>
      <w:tr w:rsidR="00477C89" w:rsidRPr="00A827F1" w14:paraId="5B5DDF1B" w14:textId="77777777" w:rsidTr="005F50EE">
        <w:tc>
          <w:tcPr>
            <w:tcW w:w="5104" w:type="dxa"/>
          </w:tcPr>
          <w:p w14:paraId="78C1800F"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25AAAF9"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0163FAD7" w14:textId="77777777" w:rsidTr="005F50EE">
        <w:tc>
          <w:tcPr>
            <w:tcW w:w="5104" w:type="dxa"/>
          </w:tcPr>
          <w:p w14:paraId="67EC1C95" w14:textId="1E8D1B8E" w:rsidR="00477C89" w:rsidRPr="000E5E32"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fr-FR"/>
              </w:rPr>
            </w:pPr>
            <w:r w:rsidRPr="000E5E32">
              <w:rPr>
                <w:rFonts w:ascii="Arial" w:hAnsi="Arial" w:cs="Arial"/>
                <w:lang w:val="fr-FR"/>
              </w:rPr>
              <w:t>Notifications et demandes d'accord numériques (service eAgreement de MyCarenet).</w:t>
            </w:r>
          </w:p>
        </w:tc>
        <w:tc>
          <w:tcPr>
            <w:tcW w:w="5104" w:type="dxa"/>
          </w:tcPr>
          <w:p w14:paraId="68117936" w14:textId="3D3957E1" w:rsidR="00477C89" w:rsidRPr="00C51760"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nl-NL"/>
              </w:rPr>
            </w:pPr>
            <w:r w:rsidRPr="00C51760">
              <w:rPr>
                <w:rFonts w:ascii="Arial" w:hAnsi="Arial" w:cs="Arial"/>
                <w:lang w:val="nl-NL"/>
              </w:rPr>
              <w:t>Digitale kennisgevingen en akkoordaanvragen (dienst eAgreement van MyCarenet).</w:t>
            </w:r>
          </w:p>
        </w:tc>
      </w:tr>
      <w:tr w:rsidR="00477C89" w:rsidRPr="00A827F1" w14:paraId="31357E95" w14:textId="77777777" w:rsidTr="005F50EE">
        <w:tc>
          <w:tcPr>
            <w:tcW w:w="5104" w:type="dxa"/>
          </w:tcPr>
          <w:p w14:paraId="30EA85CC" w14:textId="2C4C1756"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01BAFD6"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158C9BE1" w14:textId="77777777" w:rsidTr="005F50EE">
        <w:tc>
          <w:tcPr>
            <w:tcW w:w="5104" w:type="dxa"/>
          </w:tcPr>
          <w:p w14:paraId="5A35C97A" w14:textId="3EFB8CD3"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r w:rsidRPr="00F84DEF">
              <w:rPr>
                <w:rFonts w:ascii="Arial" w:hAnsi="Arial" w:cs="Arial"/>
                <w:lang w:val="fr-FR"/>
              </w:rPr>
              <w:t>Les services susmentionnés sont déjà développés pour les kinésithérapeutes depuis le 1</w:t>
            </w:r>
            <w:r w:rsidRPr="00F84DEF">
              <w:rPr>
                <w:rFonts w:ascii="Arial" w:hAnsi="Arial" w:cs="Arial"/>
                <w:vertAlign w:val="superscript"/>
                <w:lang w:val="fr-FR"/>
              </w:rPr>
              <w:t>er</w:t>
            </w:r>
            <w:r w:rsidRPr="00F84DEF">
              <w:rPr>
                <w:rFonts w:ascii="Arial" w:hAnsi="Arial" w:cs="Arial"/>
                <w:lang w:val="fr-FR"/>
              </w:rPr>
              <w:t xml:space="preserve"> septembre 2023. Cette disposition législative vise à stipuler directement dans la loi que les kinésithérapeutes sont tenus d'utiliser ces services à partir du 1</w:t>
            </w:r>
            <w:r w:rsidRPr="00F84DEF">
              <w:rPr>
                <w:rFonts w:ascii="Arial" w:hAnsi="Arial" w:cs="Arial"/>
                <w:vertAlign w:val="superscript"/>
                <w:lang w:val="fr-FR"/>
              </w:rPr>
              <w:t>er</w:t>
            </w:r>
            <w:r w:rsidR="007161D5">
              <w:rPr>
                <w:rFonts w:ascii="Arial" w:hAnsi="Arial" w:cs="Arial"/>
                <w:vertAlign w:val="superscript"/>
                <w:lang w:val="fr-FR"/>
              </w:rPr>
              <w:t xml:space="preserve"> </w:t>
            </w:r>
            <w:r>
              <w:rPr>
                <w:rFonts w:ascii="Arial" w:hAnsi="Arial" w:cs="Arial"/>
                <w:lang w:val="fr-FR"/>
              </w:rPr>
              <w:t>janvier 2027</w:t>
            </w:r>
            <w:r w:rsidRPr="00F84DEF">
              <w:rPr>
                <w:rFonts w:ascii="Arial" w:hAnsi="Arial" w:cs="Arial"/>
                <w:lang w:val="fr-FR"/>
              </w:rPr>
              <w:t>.</w:t>
            </w:r>
          </w:p>
        </w:tc>
        <w:tc>
          <w:tcPr>
            <w:tcW w:w="5104" w:type="dxa"/>
          </w:tcPr>
          <w:p w14:paraId="5C7F2A74" w14:textId="5356431B"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De voormelde diensten zijn reeds sedert 1 september 2023 ontwikkeld voor kinesitherapeuten. Deze wetsbepaling heeft als doel om rechtstreeks in de wet te bepalen dat kinesitherapeuten deze diensten verplicht moeten gebruiken vanaf 1</w:t>
            </w:r>
            <w:r w:rsidR="007161D5">
              <w:rPr>
                <w:rFonts w:ascii="Arial" w:hAnsi="Arial" w:cs="Arial"/>
                <w:lang w:val="nl-NL"/>
              </w:rPr>
              <w:t xml:space="preserve"> </w:t>
            </w:r>
            <w:r>
              <w:rPr>
                <w:rFonts w:ascii="Arial" w:hAnsi="Arial" w:cs="Arial"/>
                <w:lang w:val="nl-NL"/>
              </w:rPr>
              <w:t>januari 2027</w:t>
            </w:r>
            <w:r w:rsidRPr="00C51760">
              <w:rPr>
                <w:rFonts w:ascii="Arial" w:hAnsi="Arial" w:cs="Arial"/>
                <w:lang w:val="nl-NL"/>
              </w:rPr>
              <w:t>.</w:t>
            </w:r>
          </w:p>
        </w:tc>
      </w:tr>
      <w:tr w:rsidR="00477C89" w:rsidRPr="00A827F1" w14:paraId="714AA7C7" w14:textId="77777777" w:rsidTr="005F50EE">
        <w:tc>
          <w:tcPr>
            <w:tcW w:w="5104" w:type="dxa"/>
          </w:tcPr>
          <w:p w14:paraId="32F76E26" w14:textId="63252FD1"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9496F96" w14:textId="7E2817C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FDCDB3D" w14:textId="77777777" w:rsidTr="005F50EE">
        <w:tc>
          <w:tcPr>
            <w:tcW w:w="5104" w:type="dxa"/>
          </w:tcPr>
          <w:p w14:paraId="148EC004" w14:textId="39BA0298"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r w:rsidRPr="00F84DEF">
              <w:rPr>
                <w:rFonts w:ascii="Arial" w:hAnsi="Arial" w:cs="Arial"/>
                <w:lang w:val="fr-FR"/>
              </w:rPr>
              <w:t>De manière plus générale, il est proposé d'indiquer dans la loi coordonnée que tous les dispensateurs de soins disposeront, au plus tard le 1</w:t>
            </w:r>
            <w:r w:rsidRPr="00F84DEF">
              <w:rPr>
                <w:rFonts w:ascii="Arial" w:hAnsi="Arial" w:cs="Arial"/>
                <w:vertAlign w:val="superscript"/>
                <w:lang w:val="fr-FR"/>
              </w:rPr>
              <w:t>er</w:t>
            </w:r>
            <w:r w:rsidRPr="00F84DEF">
              <w:rPr>
                <w:rFonts w:ascii="Arial" w:hAnsi="Arial" w:cs="Arial"/>
                <w:lang w:val="fr-FR"/>
              </w:rPr>
              <w:t xml:space="preserve"> janvier 2029, de la possibilité d'attester numériquement les prestations médicales (= transfert numérique de données en dehors du cadre du régime du tiers payant), </w:t>
            </w:r>
            <w:r>
              <w:rPr>
                <w:rFonts w:ascii="Arial" w:hAnsi="Arial" w:cs="Arial"/>
                <w:lang w:val="fr-FR"/>
              </w:rPr>
              <w:t xml:space="preserve">et/ou </w:t>
            </w:r>
            <w:r w:rsidRPr="00F84DEF">
              <w:rPr>
                <w:rFonts w:ascii="Arial" w:hAnsi="Arial" w:cs="Arial"/>
                <w:lang w:val="fr-FR"/>
              </w:rPr>
              <w:t>de les facturer</w:t>
            </w:r>
            <w:r>
              <w:rPr>
                <w:rFonts w:ascii="Arial" w:hAnsi="Arial" w:cs="Arial"/>
                <w:lang w:val="fr-FR"/>
              </w:rPr>
              <w:t xml:space="preserve"> numériquement</w:t>
            </w:r>
            <w:r w:rsidRPr="00F84DEF">
              <w:rPr>
                <w:rFonts w:ascii="Arial" w:hAnsi="Arial" w:cs="Arial"/>
                <w:lang w:val="fr-FR"/>
              </w:rPr>
              <w:t xml:space="preserve"> (= transfert numérique de données dans le cadre du régime du tiers payant) dans le cadre de l'assurance obligatoire ou des deux possibilités, selon les spécificités liées à  la facturation dans le secteur concerné.</w:t>
            </w:r>
          </w:p>
        </w:tc>
        <w:tc>
          <w:tcPr>
            <w:tcW w:w="5104" w:type="dxa"/>
          </w:tcPr>
          <w:p w14:paraId="43690B21" w14:textId="5860B2CE"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Meer in het algemeen wordt er voorgesteld om in de gecoördineerde wet aan te geven dat alle zorgverleners tegen uiterlijk 1 januari 2029 zullen beschikken over de mogelijkheid om geneeskundige verstrekkingen digitaal te attesteren (= digitale gegevensoverdracht buiten het kader van de derdebetalersregeling) en/of te factureren (= digitale gegevensoverdracht binnen het kader van de derdebetalersregeling) in het kader van de verplichte verzekering</w:t>
            </w:r>
            <w:r>
              <w:rPr>
                <w:rFonts w:ascii="Arial" w:hAnsi="Arial" w:cs="Arial"/>
                <w:lang w:val="nl-NL"/>
              </w:rPr>
              <w:t xml:space="preserve"> </w:t>
            </w:r>
            <w:r w:rsidRPr="00F84DEF">
              <w:rPr>
                <w:rFonts w:ascii="Arial" w:hAnsi="Arial" w:cs="Arial"/>
                <w:lang w:val="nl-NL"/>
              </w:rPr>
              <w:t>of beide mogelijkheden, naargelang de kenmerken van de facturatie in de betrokkene sector.</w:t>
            </w:r>
          </w:p>
        </w:tc>
      </w:tr>
      <w:tr w:rsidR="00477C89" w:rsidRPr="00A827F1" w14:paraId="5E852AFD" w14:textId="77777777" w:rsidTr="005F50EE">
        <w:tc>
          <w:tcPr>
            <w:tcW w:w="5104" w:type="dxa"/>
          </w:tcPr>
          <w:p w14:paraId="5FCAAF74" w14:textId="5FDA2BB5"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Pour le 1</w:t>
            </w:r>
            <w:r w:rsidRPr="001375BE">
              <w:rPr>
                <w:rFonts w:ascii="Arial" w:hAnsi="Arial" w:cs="Arial"/>
                <w:vertAlign w:val="superscript"/>
                <w:lang w:val="fr-FR"/>
              </w:rPr>
              <w:t>er</w:t>
            </w:r>
            <w:r w:rsidRPr="001375BE">
              <w:rPr>
                <w:rFonts w:ascii="Arial" w:hAnsi="Arial" w:cs="Arial"/>
                <w:lang w:val="fr-FR"/>
              </w:rPr>
              <w:t xml:space="preserve"> janvier 2029 au plus tard, tous les dispensateurs de soins, également selon les spécificités du secteur concerné, disposeront aussi de tous les services électroniques nécessaires, dans le cadre des interventions de l’assurance obligatoire, pour consulter ou communiquer des données aux organismes assureurs.</w:t>
            </w:r>
          </w:p>
        </w:tc>
        <w:tc>
          <w:tcPr>
            <w:tcW w:w="5104" w:type="dxa"/>
          </w:tcPr>
          <w:p w14:paraId="7DB9DDF6" w14:textId="48BA50AA"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t>Tegen uiterlijk 1 januari 2029 zullen alle zorgverleners, tevens naargelang de kenmerken van de betrokken sector, ook beschikken over alle nodige elektronische diensten, in het kader van de tegemoetkomingen van de verplichte verzekering, om gegevens te consulteren en mee te delen aan de verzekeringsinstellingen.</w:t>
            </w:r>
          </w:p>
        </w:tc>
      </w:tr>
      <w:tr w:rsidR="00477C89" w:rsidRPr="00A827F1" w14:paraId="00E663CC" w14:textId="77777777" w:rsidTr="005F50EE">
        <w:tc>
          <w:tcPr>
            <w:tcW w:w="5104" w:type="dxa"/>
          </w:tcPr>
          <w:p w14:paraId="29ED323B"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BACD7FB"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95B2757" w14:textId="77777777" w:rsidTr="005F50EE">
        <w:tc>
          <w:tcPr>
            <w:tcW w:w="5104" w:type="dxa"/>
          </w:tcPr>
          <w:p w14:paraId="306FD046" w14:textId="3E2EA860"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 xml:space="preserve">Certains de ces services électroniques existent déjà mais doivent, pour certains parmis ceux-ci, être étendus à d’autres secteurs de dispensateurs de soins : member data pour consulter des données concernant l’assuré social, eTarif pour obtenir le tarif d’une prestation médicale, chapitre IV pour demander ou consulter des accords médecin-conseil pour des médicaments, eAgreement pour demander ou consulter d’autres accords médecin-conseil et envoyer des notifications aux organismes assureurs, les services médico-administratifs pour échanger de l’information « médico-administrative » avec les </w:t>
            </w:r>
            <w:r w:rsidRPr="001375BE">
              <w:rPr>
                <w:rFonts w:ascii="Arial" w:hAnsi="Arial" w:cs="Arial"/>
                <w:lang w:val="fr-FR"/>
              </w:rPr>
              <w:lastRenderedPageBreak/>
              <w:t>organismes assureurs, et eDMG pour la gestion du dossier médical global ou pour consulter l’identité du médecin-généraliste détenteur du DMG pour un assuré social.</w:t>
            </w:r>
          </w:p>
        </w:tc>
        <w:tc>
          <w:tcPr>
            <w:tcW w:w="5104" w:type="dxa"/>
          </w:tcPr>
          <w:p w14:paraId="4C95C95F" w14:textId="16667916"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lastRenderedPageBreak/>
              <w:t>Een aantal van deze elektronische diensten bestaan reeds maar moeten, voor bepaalde onder hen, worden uitgebreid naar bepaalde sectoren van zorgverleners: member data om gegevens betreffende de sociaal verzekerde te consulteren, eTarief om het tarief van een geneeskundige verstrekking te bekomen, hoofdstuk IV om akkoorden van adviserend artsen voor geneesmiddelen aan te vragen en te consulteren, eAgreement om andere akkoorden van adviserend artsen aan te vragen en te consulteren alsook kennisgevingen te sturen naar de verzekeringsinstellingen, de medisch-</w:t>
            </w:r>
            <w:r w:rsidRPr="001375BE">
              <w:rPr>
                <w:rFonts w:ascii="Arial" w:hAnsi="Arial" w:cs="Arial"/>
                <w:lang w:val="nl-NL"/>
              </w:rPr>
              <w:lastRenderedPageBreak/>
              <w:t>administratieve diensten om “medisch-administratieve” informatie uit te wisselen met de verzekeringsinstellingen, en eGMD om het globaal medisch dossier te beheren of te kunnen raadplegen wie de GMD-houdende arts is van een sociaal verzekerde.</w:t>
            </w:r>
          </w:p>
        </w:tc>
      </w:tr>
      <w:tr w:rsidR="00477C89" w:rsidRPr="00A827F1" w14:paraId="13A920EB" w14:textId="77777777" w:rsidTr="005F50EE">
        <w:tc>
          <w:tcPr>
            <w:tcW w:w="5104" w:type="dxa"/>
          </w:tcPr>
          <w:p w14:paraId="15F62CAF"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01D0081"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6B8C54D6" w14:textId="77777777" w:rsidTr="005F50EE">
        <w:tc>
          <w:tcPr>
            <w:tcW w:w="5104" w:type="dxa"/>
          </w:tcPr>
          <w:p w14:paraId="1D92C702" w14:textId="6ED4C6DF"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 xml:space="preserve">D’autres services électroniques sont prévus mais doivent encore être mis à disposition des dispensateurs de soins : e.a. eAgreement light pour demander ou consulter des accords médecin-conseil simples pour lesquels le service eAgreement ne peut pas être utilisé, et eDoc2Mut pour échanger entre autres des formulaires ou demandes pour </w:t>
            </w:r>
            <w:r>
              <w:rPr>
                <w:rFonts w:ascii="Arial" w:hAnsi="Arial" w:cs="Arial"/>
                <w:lang w:val="fr-FR"/>
              </w:rPr>
              <w:t xml:space="preserve">le </w:t>
            </w:r>
            <w:r w:rsidRPr="001375BE">
              <w:rPr>
                <w:rFonts w:ascii="Arial" w:hAnsi="Arial" w:cs="Arial"/>
                <w:lang w:val="fr-FR"/>
              </w:rPr>
              <w:t xml:space="preserve">compte de leurs patients de manière électronique avec les organismes assureurs. </w:t>
            </w:r>
          </w:p>
        </w:tc>
        <w:tc>
          <w:tcPr>
            <w:tcW w:w="5104" w:type="dxa"/>
          </w:tcPr>
          <w:p w14:paraId="22E94F1A" w14:textId="4B4A0FE1"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t>Andere elektronische diensten zijn voorzien maar moeten nog ter beschikking worden gesteld van zorgverleners: o.a. eAgreement light om eenvoudige akkoorden van adviserend artsen aan te vragen en te consulteren die niet mogelijk zijn via de dienst eAgreement, en eDoc2Mut om onder meer formulieren of aanvragen voor rekening van hun patiënten op elektronische wijze mee te delen aan de verzekeringsinstellingen.</w:t>
            </w:r>
          </w:p>
        </w:tc>
      </w:tr>
      <w:tr w:rsidR="00477C89" w:rsidRPr="00A827F1" w14:paraId="1F5EC65A" w14:textId="77777777" w:rsidTr="005F50EE">
        <w:tc>
          <w:tcPr>
            <w:tcW w:w="5104" w:type="dxa"/>
          </w:tcPr>
          <w:p w14:paraId="6727B13F"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8C7ADAD"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29F9BBA" w14:textId="77777777" w:rsidTr="005F50EE">
        <w:tc>
          <w:tcPr>
            <w:tcW w:w="5104" w:type="dxa"/>
          </w:tcPr>
          <w:p w14:paraId="34E75CA6" w14:textId="60F94BBB"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Les dispensateurs de soins peuvent transmettre aux organismes assureurs, par la plateforme sécurisée MyCareNet, uniquement des documents originaux sous forme digitale couverts par l’article 9bis de la loi SSI. Cet article est une disposition transversale permettant de digitaliser tout document papier prévu par ou en vertu de cette même loi SSI en respectant les conditions prévues la législation eHealth concernant la force probante</w:t>
            </w:r>
            <w:r>
              <w:rPr>
                <w:rFonts w:ascii="Arial" w:hAnsi="Arial" w:cs="Arial"/>
                <w:lang w:val="fr-FR"/>
              </w:rPr>
              <w:t>.</w:t>
            </w:r>
            <w:r w:rsidRPr="001375BE">
              <w:rPr>
                <w:rFonts w:ascii="Arial" w:hAnsi="Arial" w:cs="Arial"/>
                <w:lang w:val="fr-FR"/>
              </w:rPr>
              <w:t xml:space="preserve"> </w:t>
            </w:r>
          </w:p>
          <w:p w14:paraId="6EEC8584"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02CB0C32" w14:textId="25F66A9C"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t>Zorgverleners kunnen, op basis van artikel 9bis van de GVU-wet, louter originele documenten onder elektronische vorm overmaken aan de verzekeringsinstellingen door middel van het beveiligd MyCarenetplatform. Dit artikel is een transversale bepaling die toelaat om elk papieren document dat is voorzien door of krachtens de GVU-wet te digitaliseren door de bepalingen na te leven die worden voorzien door de eHealth wetgeving betreffende bewijskracht.</w:t>
            </w:r>
          </w:p>
        </w:tc>
      </w:tr>
      <w:tr w:rsidR="00477C89" w:rsidRPr="00A827F1" w14:paraId="60C8ED4B" w14:textId="77777777" w:rsidTr="005F50EE">
        <w:tc>
          <w:tcPr>
            <w:tcW w:w="5104" w:type="dxa"/>
          </w:tcPr>
          <w:p w14:paraId="1B7A254C"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7F583AA"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68E44616" w14:textId="77777777" w:rsidTr="005F50EE">
        <w:tc>
          <w:tcPr>
            <w:tcW w:w="5104" w:type="dxa"/>
          </w:tcPr>
          <w:p w14:paraId="2AFBD1F4" w14:textId="045091F9"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Une délibération du comité de sécurité de l’information est nécessaire ainsi que, conformément à l’article 9bis, alinéa 2, de la loi SSI, un règlement du comité  de l’assurance fixant les modalités pratiques de ces échanges d’informations.</w:t>
            </w:r>
          </w:p>
        </w:tc>
        <w:tc>
          <w:tcPr>
            <w:tcW w:w="5104" w:type="dxa"/>
          </w:tcPr>
          <w:p w14:paraId="19B25143" w14:textId="6B387E0B"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t>Een beraadslaging van het informatieveiligheidscomité is vereist evenals, overeenkomstig artikel 9bis, tweede lid van de GVU-wet, een verordening van het verzekeringscomité die de praktische modaliteiten van deze gegevensuitwisselingen bepaalt.</w:t>
            </w:r>
          </w:p>
        </w:tc>
      </w:tr>
      <w:tr w:rsidR="00477C89" w:rsidRPr="00A827F1" w14:paraId="76AD4B92" w14:textId="77777777" w:rsidTr="005F50EE">
        <w:tc>
          <w:tcPr>
            <w:tcW w:w="5104" w:type="dxa"/>
          </w:tcPr>
          <w:p w14:paraId="0525A509"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0390624"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EF7732E" w14:textId="77777777" w:rsidTr="005F50EE">
        <w:tc>
          <w:tcPr>
            <w:tcW w:w="5104" w:type="dxa"/>
          </w:tcPr>
          <w:p w14:paraId="3C2C3AE7" w14:textId="272B876F"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Ce même article 9bis de la loi SSI s’applique peu importe l’acteur qui transmet des documents digitaux aux organismes assureurs dans le cadre de l’assurance obligatoire.</w:t>
            </w:r>
          </w:p>
        </w:tc>
        <w:tc>
          <w:tcPr>
            <w:tcW w:w="5104" w:type="dxa"/>
          </w:tcPr>
          <w:p w14:paraId="07DC7169" w14:textId="4DB64CCE"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t>Hetzelfde artikel 9bis van de GVU-wet is toepasselijk ongeacht de actor die de digitale documenten overmaakt aan de verzekeringsinstellingen in het kader van de verplichte verzekering.</w:t>
            </w:r>
          </w:p>
        </w:tc>
      </w:tr>
      <w:tr w:rsidR="00477C89" w:rsidRPr="00A827F1" w14:paraId="2A8ECFBA" w14:textId="77777777" w:rsidTr="005F50EE">
        <w:tc>
          <w:tcPr>
            <w:tcW w:w="5104" w:type="dxa"/>
          </w:tcPr>
          <w:p w14:paraId="42EBBC58"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8A55A87" w14:textId="7777777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55F4B97" w14:textId="77777777" w:rsidTr="005F50EE">
        <w:tc>
          <w:tcPr>
            <w:tcW w:w="5104" w:type="dxa"/>
          </w:tcPr>
          <w:p w14:paraId="5631F9EA" w14:textId="1BE2D588"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 xml:space="preserve">Par dérogation au principe d’utilisation de documents originaux dans le cadre de l’article 9bis précité, il est proposé à l’article </w:t>
            </w:r>
            <w:r w:rsidRPr="00D83D55">
              <w:rPr>
                <w:rFonts w:ascii="Arial" w:hAnsi="Arial" w:cs="Arial"/>
                <w:highlight w:val="magenta"/>
                <w:lang w:val="fr-FR"/>
              </w:rPr>
              <w:t>X+48</w:t>
            </w:r>
            <w:r w:rsidRPr="001375BE">
              <w:rPr>
                <w:rFonts w:ascii="Arial" w:hAnsi="Arial" w:cs="Arial"/>
                <w:lang w:val="fr-FR"/>
              </w:rPr>
              <w:t xml:space="preserve"> de ce projet  de loi une exception pour la transmission par l’assuré social à son organisme assureur de documents nécessaires à la gestion de son dossier d’assurabilité et d’accessibilité financière au sens strict. Cette dérogation ne s’applique pas à d’autres documents transmis par l’assuré social à son </w:t>
            </w:r>
            <w:r w:rsidRPr="001375BE">
              <w:rPr>
                <w:rFonts w:ascii="Arial" w:hAnsi="Arial" w:cs="Arial"/>
                <w:lang w:val="fr-FR"/>
              </w:rPr>
              <w:lastRenderedPageBreak/>
              <w:t>organisme assureur et ne s’applique pas non plus à l’ensemble des documents transmis par les dispensateurs de soins aux organismes assureurs.</w:t>
            </w:r>
          </w:p>
        </w:tc>
        <w:tc>
          <w:tcPr>
            <w:tcW w:w="5104" w:type="dxa"/>
          </w:tcPr>
          <w:p w14:paraId="564D7A72" w14:textId="29FD68D0" w:rsidR="00477C89" w:rsidRPr="00536B62"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lastRenderedPageBreak/>
              <w:t>In afwijking van het principe dat origin</w:t>
            </w:r>
            <w:r>
              <w:rPr>
                <w:rFonts w:ascii="Arial" w:hAnsi="Arial" w:cs="Arial"/>
                <w:lang w:val="nl-NL"/>
              </w:rPr>
              <w:t>e</w:t>
            </w:r>
            <w:r w:rsidRPr="001375BE">
              <w:rPr>
                <w:rFonts w:ascii="Arial" w:hAnsi="Arial" w:cs="Arial"/>
                <w:lang w:val="nl-NL"/>
              </w:rPr>
              <w:t xml:space="preserve">le documenten moeten worden gebruikt in het kader van het voormeld artikel 9bis, wordt er voorgesteld in artikel </w:t>
            </w:r>
            <w:r w:rsidRPr="00D83D55">
              <w:rPr>
                <w:rFonts w:ascii="Arial" w:hAnsi="Arial" w:cs="Arial"/>
                <w:highlight w:val="magenta"/>
                <w:lang w:val="nl-NL"/>
              </w:rPr>
              <w:t>X+48</w:t>
            </w:r>
            <w:r w:rsidRPr="001375BE">
              <w:rPr>
                <w:rFonts w:ascii="Arial" w:hAnsi="Arial" w:cs="Arial"/>
                <w:lang w:val="nl-NL"/>
              </w:rPr>
              <w:t xml:space="preserve"> van dit wetsontwerp om een uitzondering in te voeren voor de mededeling door de sociaal verzekerde aan zijn verzekeringsinstelling van documenten die nodig zijn voor het beheer van zijn dossier inzake verzekerbaarheid en financiële toegankelijkheid in </w:t>
            </w:r>
            <w:r w:rsidRPr="001375BE">
              <w:rPr>
                <w:rFonts w:ascii="Arial" w:hAnsi="Arial" w:cs="Arial"/>
                <w:lang w:val="nl-NL"/>
              </w:rPr>
              <w:lastRenderedPageBreak/>
              <w:t>strikte zin. Deze afwijking is niet van toepassing op andere documenten die worden meegedeeld door de sociaal verzekerde aan zijn verzekeringsinstelling en vindt eveneens geen toepassing op alle documenten die door zorgverleners worden meegedeeld aan de verzekeringsinstellingen.</w:t>
            </w:r>
          </w:p>
        </w:tc>
      </w:tr>
      <w:tr w:rsidR="00477C89" w:rsidRPr="00A827F1" w14:paraId="24AD7D1F" w14:textId="77777777" w:rsidTr="005F50EE">
        <w:tc>
          <w:tcPr>
            <w:tcW w:w="5104" w:type="dxa"/>
          </w:tcPr>
          <w:p w14:paraId="206A0196" w14:textId="67E99AF0" w:rsidR="00477C89" w:rsidRPr="00536B6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DCB8B58" w14:textId="24A84EF4" w:rsidR="00477C89" w:rsidRPr="00536B62"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F6128D2" w14:textId="77777777" w:rsidTr="005F50EE">
        <w:tc>
          <w:tcPr>
            <w:tcW w:w="5104" w:type="dxa"/>
          </w:tcPr>
          <w:p w14:paraId="350F0E52" w14:textId="4AB6F6E7"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r w:rsidRPr="00F84DEF">
              <w:rPr>
                <w:rFonts w:ascii="Arial" w:hAnsi="Arial" w:cs="Arial"/>
                <w:lang w:val="fr-FR"/>
              </w:rPr>
              <w:t>Au plus tard le 1</w:t>
            </w:r>
            <w:r w:rsidRPr="00F84DEF">
              <w:rPr>
                <w:rFonts w:ascii="Arial" w:hAnsi="Arial" w:cs="Arial"/>
                <w:vertAlign w:val="superscript"/>
                <w:lang w:val="fr-FR"/>
              </w:rPr>
              <w:t>er</w:t>
            </w:r>
            <w:r w:rsidRPr="00F84DEF">
              <w:rPr>
                <w:rFonts w:ascii="Arial" w:hAnsi="Arial" w:cs="Arial"/>
                <w:lang w:val="fr-FR"/>
              </w:rPr>
              <w:t xml:space="preserve"> janvier 2030, l'utilisation du transfert numérique de données dans et/ou en dehors du cadre du régime du tiers payant deviendra obligatoire pour toutes les professions qui fournissent des prestations médicales donnant lieu à une intervention de l'assurance obligatoire.</w:t>
            </w:r>
          </w:p>
          <w:p w14:paraId="352F56CD" w14:textId="1A14BE93"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7421CA77" w14:textId="7F5AD014"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Uiterlijk op 1 januari 2030 zal het gebruik van de digitale gegevensoverdracht binnen en/of buiten het kader van de derdebetalersregeling verplicht worden voor alle beroepsgroepen die geneeskundige verstrekkingen verlenen die aanleiding geven tot een tegemoetkoming van de verplichte verzekering.</w:t>
            </w:r>
          </w:p>
        </w:tc>
      </w:tr>
      <w:tr w:rsidR="00477C89" w:rsidRPr="00A827F1" w14:paraId="0FF2C5DE" w14:textId="77777777" w:rsidTr="005F50EE">
        <w:tc>
          <w:tcPr>
            <w:tcW w:w="5104" w:type="dxa"/>
          </w:tcPr>
          <w:p w14:paraId="76E7F550"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BBAFFC4"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C566703" w14:textId="77777777" w:rsidTr="005F50EE">
        <w:tc>
          <w:tcPr>
            <w:tcW w:w="5104" w:type="dxa"/>
          </w:tcPr>
          <w:p w14:paraId="2EBEC199" w14:textId="3ED94F4C" w:rsidR="00477C89" w:rsidRPr="001375BE" w:rsidRDefault="00477C89" w:rsidP="00477C89">
            <w:pPr>
              <w:tabs>
                <w:tab w:val="left" w:pos="4468"/>
                <w:tab w:val="left" w:pos="5643"/>
                <w:tab w:val="left" w:pos="9747"/>
              </w:tabs>
              <w:spacing w:after="0" w:line="240" w:lineRule="auto"/>
              <w:jc w:val="both"/>
              <w:rPr>
                <w:rFonts w:ascii="Arial" w:hAnsi="Arial" w:cs="Arial"/>
                <w:lang w:val="fr-FR"/>
              </w:rPr>
            </w:pPr>
            <w:r w:rsidRPr="001375BE">
              <w:rPr>
                <w:rFonts w:ascii="Arial" w:hAnsi="Arial" w:cs="Arial"/>
                <w:lang w:val="fr-FR"/>
              </w:rPr>
              <w:t>Au 1</w:t>
            </w:r>
            <w:r w:rsidRPr="001375BE">
              <w:rPr>
                <w:rFonts w:ascii="Arial" w:hAnsi="Arial" w:cs="Arial"/>
                <w:vertAlign w:val="superscript"/>
                <w:lang w:val="fr-FR"/>
              </w:rPr>
              <w:t>er</w:t>
            </w:r>
            <w:r>
              <w:rPr>
                <w:rFonts w:ascii="Arial" w:hAnsi="Arial" w:cs="Arial"/>
                <w:lang w:val="fr-FR"/>
              </w:rPr>
              <w:t xml:space="preserve"> </w:t>
            </w:r>
            <w:r w:rsidRPr="001375BE">
              <w:rPr>
                <w:rFonts w:ascii="Arial" w:hAnsi="Arial" w:cs="Arial"/>
                <w:lang w:val="fr-FR"/>
              </w:rPr>
              <w:t>janvier 2030, il deviendra également obligatoire pour toutes les professions d’utiliser les autres services électroniques pour consulter et échanger des données aux organismes assureurs dans le cadre de l’assurance obligatoire.</w:t>
            </w:r>
          </w:p>
        </w:tc>
        <w:tc>
          <w:tcPr>
            <w:tcW w:w="5104" w:type="dxa"/>
          </w:tcPr>
          <w:p w14:paraId="6715D9EE" w14:textId="591C531E"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r w:rsidRPr="001375BE">
              <w:rPr>
                <w:rFonts w:ascii="Arial" w:hAnsi="Arial" w:cs="Arial"/>
                <w:lang w:val="nl-NL"/>
              </w:rPr>
              <w:t>Op 1 januari 2030 zal het daarenboven voor alle beroepsgroepen verplicht worden om ook de andere elektronische diensten om gegevens te consulteren en mee te delen aan de verzekeringsinstellingen in het kader van de verplichte verzekering, te gebruiken.</w:t>
            </w:r>
          </w:p>
        </w:tc>
      </w:tr>
      <w:tr w:rsidR="00477C89" w:rsidRPr="00A827F1" w14:paraId="5E565704" w14:textId="77777777" w:rsidTr="005F50EE">
        <w:tc>
          <w:tcPr>
            <w:tcW w:w="5104" w:type="dxa"/>
          </w:tcPr>
          <w:p w14:paraId="11E7910F" w14:textId="326F413A"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BB4B37A" w14:textId="07E9E127" w:rsidR="00477C89" w:rsidRPr="001375BE" w:rsidRDefault="00477C89" w:rsidP="00477C89">
            <w:pPr>
              <w:tabs>
                <w:tab w:val="left" w:pos="4468"/>
                <w:tab w:val="left" w:pos="5643"/>
                <w:tab w:val="left" w:pos="9747"/>
              </w:tabs>
              <w:spacing w:after="0" w:line="240" w:lineRule="auto"/>
              <w:jc w:val="both"/>
              <w:rPr>
                <w:rFonts w:ascii="Arial" w:hAnsi="Arial" w:cs="Arial"/>
                <w:lang w:val="nl-NL"/>
              </w:rPr>
            </w:pPr>
          </w:p>
        </w:tc>
      </w:tr>
      <w:tr w:rsidR="005F50EE" w:rsidRPr="00A827F1" w14:paraId="7115B38B"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052352EE" w14:textId="5FAACB6A" w:rsidR="005F50EE" w:rsidRPr="007B5503" w:rsidRDefault="005F50EE" w:rsidP="007946E6">
            <w:pPr>
              <w:tabs>
                <w:tab w:val="left" w:pos="4468"/>
                <w:tab w:val="left" w:pos="5643"/>
                <w:tab w:val="left" w:pos="9747"/>
              </w:tabs>
              <w:spacing w:after="0" w:line="240" w:lineRule="auto"/>
              <w:jc w:val="both"/>
              <w:rPr>
                <w:rFonts w:ascii="Arial" w:hAnsi="Arial" w:cs="Arial"/>
                <w:lang w:val="fr-FR"/>
              </w:rPr>
            </w:pPr>
            <w:r w:rsidRPr="005F50EE">
              <w:rPr>
                <w:rFonts w:ascii="Arial" w:hAnsi="Arial" w:cs="Arial"/>
                <w:lang w:val="fr-FR"/>
              </w:rPr>
              <w:t>Ces obligations ne vaudront pas dans les situations d’exception suivantes, dans lesquelles la transmission pourra se faire exceptionnellement par papier :</w:t>
            </w:r>
          </w:p>
        </w:tc>
        <w:tc>
          <w:tcPr>
            <w:tcW w:w="5104" w:type="dxa"/>
            <w:tcBorders>
              <w:top w:val="nil"/>
              <w:left w:val="single" w:sz="4" w:space="0" w:color="auto"/>
              <w:bottom w:val="nil"/>
              <w:right w:val="nil"/>
            </w:tcBorders>
          </w:tcPr>
          <w:p w14:paraId="37311595" w14:textId="6EB4663A"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r w:rsidRPr="005F50EE">
              <w:rPr>
                <w:rFonts w:ascii="Arial" w:hAnsi="Arial" w:cs="Arial"/>
                <w:lang w:val="nl-NL"/>
              </w:rPr>
              <w:t>Deze verplichtingen zullen niet gelden in de volgende uitzonderingssituaties, waarin de gegevensoverdracht uitzonderlijk op papier zal kunnen gebeuren:</w:t>
            </w:r>
          </w:p>
        </w:tc>
      </w:tr>
      <w:tr w:rsidR="005F50EE" w:rsidRPr="00A827F1" w14:paraId="14995C3C"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6895C119"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c>
          <w:tcPr>
            <w:tcW w:w="5104" w:type="dxa"/>
            <w:tcBorders>
              <w:top w:val="nil"/>
              <w:left w:val="single" w:sz="4" w:space="0" w:color="auto"/>
              <w:bottom w:val="nil"/>
              <w:right w:val="nil"/>
            </w:tcBorders>
          </w:tcPr>
          <w:p w14:paraId="541DC19C"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r>
      <w:tr w:rsidR="005F50EE" w:rsidRPr="00A827F1" w14:paraId="1E4B05EF"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5A74261D" w14:textId="2DE7C769" w:rsidR="005F50EE" w:rsidRPr="007B5503" w:rsidRDefault="005F50EE" w:rsidP="007946E6">
            <w:pPr>
              <w:tabs>
                <w:tab w:val="left" w:pos="4468"/>
                <w:tab w:val="left" w:pos="5643"/>
                <w:tab w:val="left" w:pos="9747"/>
              </w:tabs>
              <w:spacing w:after="0" w:line="240" w:lineRule="auto"/>
              <w:jc w:val="both"/>
              <w:rPr>
                <w:rFonts w:ascii="Arial" w:hAnsi="Arial" w:cs="Arial"/>
                <w:lang w:val="fr-FR"/>
              </w:rPr>
            </w:pPr>
            <w:r w:rsidRPr="005F50EE">
              <w:rPr>
                <w:rFonts w:ascii="Arial" w:hAnsi="Arial" w:cs="Arial"/>
                <w:lang w:val="fr-FR"/>
              </w:rPr>
              <w:t>1) si la facturation a lieu en dehors du cabinet du dispensateur de soins et si la facturation électronique n'est techniquement pas possible ;</w:t>
            </w:r>
          </w:p>
        </w:tc>
        <w:tc>
          <w:tcPr>
            <w:tcW w:w="5104" w:type="dxa"/>
            <w:tcBorders>
              <w:top w:val="nil"/>
              <w:left w:val="single" w:sz="4" w:space="0" w:color="auto"/>
              <w:bottom w:val="nil"/>
              <w:right w:val="nil"/>
            </w:tcBorders>
          </w:tcPr>
          <w:p w14:paraId="34E708D8" w14:textId="3933B025"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r w:rsidRPr="005F50EE">
              <w:rPr>
                <w:rFonts w:ascii="Arial" w:hAnsi="Arial" w:cs="Arial"/>
                <w:lang w:val="nl-NL"/>
              </w:rPr>
              <w:t>1) als de facturatie plaatsvindt buiten het kabinet van de zorgverlener en de elektronische facturatie technisch onmogelijk is;</w:t>
            </w:r>
          </w:p>
        </w:tc>
      </w:tr>
      <w:tr w:rsidR="005F50EE" w:rsidRPr="00A827F1" w14:paraId="6B114DC4"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3F2F75E5"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c>
          <w:tcPr>
            <w:tcW w:w="5104" w:type="dxa"/>
            <w:tcBorders>
              <w:top w:val="nil"/>
              <w:left w:val="single" w:sz="4" w:space="0" w:color="auto"/>
              <w:bottom w:val="nil"/>
              <w:right w:val="nil"/>
            </w:tcBorders>
          </w:tcPr>
          <w:p w14:paraId="1ACAA464"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r>
      <w:tr w:rsidR="005F50EE" w:rsidRPr="00A827F1" w14:paraId="2BEF0977"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11E15650" w14:textId="5D501817" w:rsidR="005F50EE" w:rsidRPr="007B5503" w:rsidRDefault="005F50EE" w:rsidP="007946E6">
            <w:pPr>
              <w:tabs>
                <w:tab w:val="left" w:pos="4468"/>
                <w:tab w:val="left" w:pos="5643"/>
                <w:tab w:val="left" w:pos="9747"/>
              </w:tabs>
              <w:spacing w:after="0" w:line="240" w:lineRule="auto"/>
              <w:jc w:val="both"/>
              <w:rPr>
                <w:rFonts w:ascii="Arial" w:hAnsi="Arial" w:cs="Arial"/>
                <w:lang w:val="fr-FR"/>
              </w:rPr>
            </w:pPr>
            <w:r w:rsidRPr="005F50EE">
              <w:rPr>
                <w:rFonts w:ascii="Arial" w:hAnsi="Arial" w:cs="Arial"/>
                <w:lang w:val="fr-FR"/>
              </w:rPr>
              <w:t>2) en cas de force majeure qui rend la transmission de données électronique impossible ;</w:t>
            </w:r>
          </w:p>
        </w:tc>
        <w:tc>
          <w:tcPr>
            <w:tcW w:w="5104" w:type="dxa"/>
            <w:tcBorders>
              <w:top w:val="nil"/>
              <w:left w:val="single" w:sz="4" w:space="0" w:color="auto"/>
              <w:bottom w:val="nil"/>
              <w:right w:val="nil"/>
            </w:tcBorders>
          </w:tcPr>
          <w:p w14:paraId="0CB8E327" w14:textId="0D05D653"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r>
              <w:rPr>
                <w:rFonts w:ascii="Arial" w:hAnsi="Arial" w:cs="Arial"/>
                <w:lang w:val="nl-NL"/>
              </w:rPr>
              <w:t>2</w:t>
            </w:r>
            <w:r w:rsidRPr="005F50EE">
              <w:rPr>
                <w:rFonts w:ascii="Arial" w:hAnsi="Arial" w:cs="Arial"/>
                <w:lang w:val="nl-NL"/>
              </w:rPr>
              <w:t>) in geval van overmacht die de elektronische gegevensoverdracht onmogelijk maakt;</w:t>
            </w:r>
          </w:p>
        </w:tc>
      </w:tr>
      <w:tr w:rsidR="005F50EE" w:rsidRPr="00A827F1" w14:paraId="0208B347"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0C4AD9D9"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c>
          <w:tcPr>
            <w:tcW w:w="5104" w:type="dxa"/>
            <w:tcBorders>
              <w:top w:val="nil"/>
              <w:left w:val="single" w:sz="4" w:space="0" w:color="auto"/>
              <w:bottom w:val="nil"/>
              <w:right w:val="nil"/>
            </w:tcBorders>
          </w:tcPr>
          <w:p w14:paraId="2E94157A"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r>
      <w:tr w:rsidR="005F50EE" w:rsidRPr="00A827F1" w14:paraId="4469BF6B"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22D268FC" w14:textId="205CB9F8" w:rsidR="005F50EE" w:rsidRPr="007B5503" w:rsidRDefault="005F50EE" w:rsidP="007946E6">
            <w:pPr>
              <w:tabs>
                <w:tab w:val="left" w:pos="4468"/>
                <w:tab w:val="left" w:pos="5643"/>
                <w:tab w:val="left" w:pos="9747"/>
              </w:tabs>
              <w:spacing w:after="0" w:line="240" w:lineRule="auto"/>
              <w:jc w:val="both"/>
              <w:rPr>
                <w:rFonts w:ascii="Arial" w:hAnsi="Arial" w:cs="Arial"/>
                <w:lang w:val="fr-FR"/>
              </w:rPr>
            </w:pPr>
            <w:r w:rsidRPr="005F50EE">
              <w:rPr>
                <w:rFonts w:ascii="Arial" w:hAnsi="Arial" w:cs="Arial"/>
                <w:lang w:val="fr-FR"/>
              </w:rPr>
              <w:t>3) si le dispensateur de soins a atteint l'âge de 67 ans à la date du 1er janvier 2027.</w:t>
            </w:r>
          </w:p>
        </w:tc>
        <w:tc>
          <w:tcPr>
            <w:tcW w:w="5104" w:type="dxa"/>
            <w:tcBorders>
              <w:top w:val="nil"/>
              <w:left w:val="single" w:sz="4" w:space="0" w:color="auto"/>
              <w:bottom w:val="nil"/>
              <w:right w:val="nil"/>
            </w:tcBorders>
          </w:tcPr>
          <w:p w14:paraId="7D125C3E" w14:textId="027FCC44"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r w:rsidRPr="005F50EE">
              <w:rPr>
                <w:rFonts w:ascii="Arial" w:hAnsi="Arial" w:cs="Arial"/>
                <w:lang w:val="nl-NL"/>
              </w:rPr>
              <w:t>3) indien de zorgverlener de leeftijd van 67 jaar heeft bereikt op 1 januari 2027.</w:t>
            </w:r>
          </w:p>
        </w:tc>
      </w:tr>
      <w:tr w:rsidR="005F50EE" w:rsidRPr="00A827F1" w14:paraId="0327DEA6" w14:textId="77777777" w:rsidTr="005F50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104" w:type="dxa"/>
            <w:tcBorders>
              <w:top w:val="nil"/>
              <w:left w:val="nil"/>
              <w:bottom w:val="nil"/>
              <w:right w:val="single" w:sz="4" w:space="0" w:color="auto"/>
            </w:tcBorders>
          </w:tcPr>
          <w:p w14:paraId="27E14051"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c>
          <w:tcPr>
            <w:tcW w:w="5104" w:type="dxa"/>
            <w:tcBorders>
              <w:top w:val="nil"/>
              <w:left w:val="single" w:sz="4" w:space="0" w:color="auto"/>
              <w:bottom w:val="nil"/>
              <w:right w:val="nil"/>
            </w:tcBorders>
          </w:tcPr>
          <w:p w14:paraId="076D321B" w14:textId="77777777" w:rsidR="005F50EE" w:rsidRPr="007B5503" w:rsidRDefault="005F50EE" w:rsidP="007946E6">
            <w:pPr>
              <w:tabs>
                <w:tab w:val="left" w:pos="4468"/>
                <w:tab w:val="left" w:pos="5643"/>
                <w:tab w:val="left" w:pos="9747"/>
              </w:tabs>
              <w:spacing w:after="0" w:line="240" w:lineRule="auto"/>
              <w:jc w:val="both"/>
              <w:rPr>
                <w:rFonts w:ascii="Arial" w:hAnsi="Arial" w:cs="Arial"/>
                <w:lang w:val="nl-NL"/>
              </w:rPr>
            </w:pPr>
          </w:p>
        </w:tc>
      </w:tr>
      <w:tr w:rsidR="00477C89" w:rsidRPr="00A827F1" w14:paraId="7750F612" w14:textId="77777777" w:rsidTr="005F50EE">
        <w:tc>
          <w:tcPr>
            <w:tcW w:w="5104" w:type="dxa"/>
          </w:tcPr>
          <w:p w14:paraId="27853763" w14:textId="2F595573"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r w:rsidRPr="00F84DEF">
              <w:rPr>
                <w:rFonts w:ascii="Arial" w:hAnsi="Arial" w:cs="Arial"/>
                <w:lang w:val="fr-FR"/>
              </w:rPr>
              <w:t xml:space="preserve">Une compétence est accordée au Roi pour </w:t>
            </w:r>
            <w:r w:rsidR="005F50EE">
              <w:rPr>
                <w:rFonts w:ascii="Arial" w:hAnsi="Arial" w:cs="Arial"/>
                <w:lang w:val="fr-FR"/>
              </w:rPr>
              <w:t xml:space="preserve">adapter les situations d’exceptions précitées et/ou pour </w:t>
            </w:r>
            <w:r w:rsidRPr="00F84DEF">
              <w:rPr>
                <w:rFonts w:ascii="Arial" w:hAnsi="Arial" w:cs="Arial"/>
                <w:lang w:val="fr-FR"/>
              </w:rPr>
              <w:t xml:space="preserve">prévoir </w:t>
            </w:r>
            <w:r w:rsidR="005F50EE">
              <w:rPr>
                <w:rFonts w:ascii="Arial" w:hAnsi="Arial" w:cs="Arial"/>
                <w:lang w:val="fr-FR"/>
              </w:rPr>
              <w:t>d’autres</w:t>
            </w:r>
            <w:r w:rsidR="005F50EE" w:rsidRPr="00F84DEF">
              <w:rPr>
                <w:rFonts w:ascii="Arial" w:hAnsi="Arial" w:cs="Arial"/>
                <w:lang w:val="fr-FR"/>
              </w:rPr>
              <w:t xml:space="preserve"> </w:t>
            </w:r>
            <w:r w:rsidRPr="00F84DEF">
              <w:rPr>
                <w:rFonts w:ascii="Arial" w:hAnsi="Arial" w:cs="Arial"/>
                <w:lang w:val="fr-FR"/>
              </w:rPr>
              <w:t>exceptions entre autre</w:t>
            </w:r>
            <w:r>
              <w:rPr>
                <w:rFonts w:ascii="Arial" w:hAnsi="Arial" w:cs="Arial"/>
                <w:lang w:val="fr-FR"/>
              </w:rPr>
              <w:t xml:space="preserve">s </w:t>
            </w:r>
            <w:r w:rsidRPr="00F84DEF">
              <w:rPr>
                <w:rFonts w:ascii="Arial" w:hAnsi="Arial" w:cs="Arial"/>
                <w:lang w:val="fr-FR"/>
              </w:rPr>
              <w:t>:</w:t>
            </w:r>
          </w:p>
        </w:tc>
        <w:tc>
          <w:tcPr>
            <w:tcW w:w="5104" w:type="dxa"/>
          </w:tcPr>
          <w:p w14:paraId="3CAA9633" w14:textId="2A1ADC8A"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 xml:space="preserve">Er wordt een bevoegdheid gegeven aan de Koning om </w:t>
            </w:r>
            <w:r w:rsidR="005F50EE" w:rsidRPr="005F50EE">
              <w:rPr>
                <w:rFonts w:ascii="Arial" w:hAnsi="Arial" w:cs="Arial"/>
                <w:lang w:val="nl-NL"/>
              </w:rPr>
              <w:t xml:space="preserve">de voormelde uitzonderingssituaties aan te passen en/of andere </w:t>
            </w:r>
            <w:r w:rsidRPr="00C51760">
              <w:rPr>
                <w:rFonts w:ascii="Arial" w:hAnsi="Arial" w:cs="Arial"/>
                <w:lang w:val="nl-NL"/>
              </w:rPr>
              <w:t>uitzonderingen te voorzien</w:t>
            </w:r>
            <w:r w:rsidR="005F50EE">
              <w:rPr>
                <w:rFonts w:ascii="Arial" w:hAnsi="Arial" w:cs="Arial"/>
                <w:lang w:val="nl-NL"/>
              </w:rPr>
              <w:t>, onder andere</w:t>
            </w:r>
            <w:r w:rsidRPr="00C51760">
              <w:rPr>
                <w:rFonts w:ascii="Arial" w:hAnsi="Arial" w:cs="Arial"/>
                <w:lang w:val="nl-NL"/>
              </w:rPr>
              <w:t>:</w:t>
            </w:r>
          </w:p>
        </w:tc>
      </w:tr>
      <w:tr w:rsidR="00477C89" w:rsidRPr="00A827F1" w14:paraId="65DFB62E" w14:textId="77777777" w:rsidTr="005F50EE">
        <w:tc>
          <w:tcPr>
            <w:tcW w:w="5104" w:type="dxa"/>
          </w:tcPr>
          <w:p w14:paraId="44610838" w14:textId="5EB6743F"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9853218" w14:textId="7126206A"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55284B65" w14:textId="77777777" w:rsidTr="005F50EE">
        <w:tc>
          <w:tcPr>
            <w:tcW w:w="5104" w:type="dxa"/>
          </w:tcPr>
          <w:p w14:paraId="2BAB27BE" w14:textId="7695A5C5" w:rsidR="00477C89" w:rsidRPr="00F84DEF" w:rsidRDefault="00477C89" w:rsidP="00477C89">
            <w:pPr>
              <w:pStyle w:val="Lijstalinea"/>
              <w:numPr>
                <w:ilvl w:val="0"/>
                <w:numId w:val="1"/>
              </w:numPr>
              <w:tabs>
                <w:tab w:val="left" w:pos="4468"/>
                <w:tab w:val="left" w:pos="5643"/>
                <w:tab w:val="left" w:pos="9747"/>
              </w:tabs>
              <w:spacing w:after="0" w:line="240" w:lineRule="auto"/>
              <w:ind w:left="250" w:hanging="142"/>
              <w:jc w:val="both"/>
              <w:rPr>
                <w:rFonts w:ascii="Arial" w:hAnsi="Arial" w:cs="Arial"/>
                <w:lang w:val="fr-FR"/>
              </w:rPr>
            </w:pPr>
            <w:r w:rsidRPr="00F84DEF">
              <w:rPr>
                <w:rFonts w:ascii="Arial" w:hAnsi="Arial" w:cs="Arial"/>
                <w:lang w:val="fr-FR"/>
              </w:rPr>
              <w:t>pour une catégorie professionnelle, continuer à utiliser des attestations de soins donnés papier après le 1</w:t>
            </w:r>
            <w:r w:rsidRPr="00F84DEF">
              <w:rPr>
                <w:rFonts w:ascii="Arial" w:hAnsi="Arial" w:cs="Arial"/>
                <w:vertAlign w:val="superscript"/>
                <w:lang w:val="fr-FR"/>
              </w:rPr>
              <w:t>er</w:t>
            </w:r>
            <w:r w:rsidRPr="00F84DEF">
              <w:rPr>
                <w:rFonts w:ascii="Arial" w:hAnsi="Arial" w:cs="Arial"/>
                <w:lang w:val="fr-FR"/>
              </w:rPr>
              <w:t xml:space="preserve"> janvier 2030 (= l'utilisation obligatoire du transfert de données numériques dans et/ou en dehors du régime du tiers payant n'entrera pas en vigueur le 1</w:t>
            </w:r>
            <w:r w:rsidRPr="00F84DEF">
              <w:rPr>
                <w:rFonts w:ascii="Arial" w:hAnsi="Arial" w:cs="Arial"/>
                <w:vertAlign w:val="superscript"/>
                <w:lang w:val="fr-FR"/>
              </w:rPr>
              <w:t>er</w:t>
            </w:r>
            <w:r w:rsidRPr="00F84DEF">
              <w:rPr>
                <w:rFonts w:ascii="Arial" w:hAnsi="Arial" w:cs="Arial"/>
                <w:lang w:val="fr-FR"/>
              </w:rPr>
              <w:t xml:space="preserve"> janvier 2030)</w:t>
            </w:r>
          </w:p>
        </w:tc>
        <w:tc>
          <w:tcPr>
            <w:tcW w:w="5104" w:type="dxa"/>
          </w:tcPr>
          <w:p w14:paraId="602060A4" w14:textId="1885DFC3" w:rsidR="00477C89" w:rsidRPr="00C51760"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nl-NL"/>
              </w:rPr>
            </w:pPr>
            <w:r w:rsidRPr="00C51760">
              <w:rPr>
                <w:rFonts w:ascii="Arial" w:hAnsi="Arial" w:cs="Arial"/>
                <w:lang w:val="nl-NL"/>
              </w:rPr>
              <w:t>voor een beroepsgroep om ook na 1 januari 2030 verder gebruik te maken van papieren getuigschriften voor verstrekte hulp (= verplicht gebruik van digitale gegevensoverdracht binnen en/of buiten de derdebetalersregeling vindt geen ingang op 1 januari 2030);</w:t>
            </w:r>
          </w:p>
        </w:tc>
      </w:tr>
      <w:tr w:rsidR="00477C89" w:rsidRPr="00A827F1" w14:paraId="4811236D" w14:textId="77777777" w:rsidTr="005F50EE">
        <w:tc>
          <w:tcPr>
            <w:tcW w:w="5104" w:type="dxa"/>
          </w:tcPr>
          <w:p w14:paraId="4E05194F"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4A8BAC0" w14:textId="77777777" w:rsidR="00477C89" w:rsidRPr="00DF4489" w:rsidRDefault="00477C89" w:rsidP="00477C89">
            <w:pPr>
              <w:tabs>
                <w:tab w:val="left" w:pos="4468"/>
                <w:tab w:val="left" w:pos="5643"/>
                <w:tab w:val="left" w:pos="9747"/>
              </w:tabs>
              <w:spacing w:after="0" w:line="240" w:lineRule="auto"/>
              <w:ind w:left="250" w:hanging="142"/>
              <w:jc w:val="both"/>
              <w:rPr>
                <w:rFonts w:ascii="Arial" w:hAnsi="Arial" w:cs="Arial"/>
                <w:lang w:val="nl-NL"/>
              </w:rPr>
            </w:pPr>
          </w:p>
        </w:tc>
      </w:tr>
      <w:tr w:rsidR="00477C89" w:rsidRPr="00A827F1" w14:paraId="0297AE5C" w14:textId="77777777" w:rsidTr="005F50EE">
        <w:tc>
          <w:tcPr>
            <w:tcW w:w="5104" w:type="dxa"/>
          </w:tcPr>
          <w:p w14:paraId="7E97DCC8" w14:textId="112FF32C" w:rsidR="00477C89" w:rsidRPr="001375BE" w:rsidRDefault="00477C89" w:rsidP="00477C89">
            <w:pPr>
              <w:pStyle w:val="Lijstalinea"/>
              <w:numPr>
                <w:ilvl w:val="0"/>
                <w:numId w:val="1"/>
              </w:numPr>
              <w:tabs>
                <w:tab w:val="left" w:pos="4468"/>
                <w:tab w:val="left" w:pos="5643"/>
                <w:tab w:val="left" w:pos="9747"/>
              </w:tabs>
              <w:spacing w:after="0" w:line="240" w:lineRule="auto"/>
              <w:ind w:left="250" w:hanging="142"/>
              <w:jc w:val="both"/>
              <w:rPr>
                <w:rFonts w:ascii="Arial" w:hAnsi="Arial" w:cs="Arial"/>
                <w:lang w:val="fr-FR"/>
              </w:rPr>
            </w:pPr>
            <w:r w:rsidRPr="001375BE">
              <w:rPr>
                <w:rFonts w:ascii="Arial" w:hAnsi="Arial" w:cs="Arial"/>
                <w:lang w:val="fr-FR"/>
              </w:rPr>
              <w:lastRenderedPageBreak/>
              <w:t>pour une catégorie professionnelle, continuer à utiliser des formulaires papiers dans le cadre de l’assurance obligatoire après le 1</w:t>
            </w:r>
            <w:r w:rsidRPr="001375BE">
              <w:rPr>
                <w:rFonts w:ascii="Arial" w:hAnsi="Arial" w:cs="Arial"/>
                <w:vertAlign w:val="superscript"/>
                <w:lang w:val="fr-FR"/>
              </w:rPr>
              <w:t>er</w:t>
            </w:r>
            <w:r w:rsidRPr="001375BE">
              <w:rPr>
                <w:rFonts w:ascii="Arial" w:hAnsi="Arial" w:cs="Arial"/>
                <w:lang w:val="fr-FR"/>
              </w:rPr>
              <w:t xml:space="preserve"> janvier 2030 (= l’utilisation obligatoire d’eAgreement light n’entrera pas en vigueur le 1er janvier 2030)</w:t>
            </w:r>
            <w:r>
              <w:rPr>
                <w:rFonts w:ascii="Arial" w:hAnsi="Arial" w:cs="Arial"/>
                <w:lang w:val="fr-FR"/>
              </w:rPr>
              <w:t>.</w:t>
            </w:r>
          </w:p>
        </w:tc>
        <w:tc>
          <w:tcPr>
            <w:tcW w:w="5104" w:type="dxa"/>
          </w:tcPr>
          <w:p w14:paraId="22FDEDC7" w14:textId="7790A304" w:rsidR="00477C89" w:rsidRPr="001375BE" w:rsidRDefault="00477C89" w:rsidP="00477C89">
            <w:pPr>
              <w:pStyle w:val="Lijstalinea"/>
              <w:numPr>
                <w:ilvl w:val="0"/>
                <w:numId w:val="2"/>
              </w:numPr>
              <w:tabs>
                <w:tab w:val="left" w:pos="4468"/>
                <w:tab w:val="left" w:pos="5643"/>
                <w:tab w:val="left" w:pos="9747"/>
              </w:tabs>
              <w:spacing w:after="0" w:line="240" w:lineRule="auto"/>
              <w:ind w:left="250" w:hanging="142"/>
              <w:jc w:val="both"/>
              <w:rPr>
                <w:rFonts w:ascii="Arial" w:hAnsi="Arial" w:cs="Arial"/>
                <w:lang w:val="nl-NL"/>
              </w:rPr>
            </w:pPr>
            <w:r w:rsidRPr="001375BE">
              <w:rPr>
                <w:rFonts w:ascii="Arial" w:hAnsi="Arial" w:cs="Arial"/>
                <w:lang w:val="nl-NL"/>
              </w:rPr>
              <w:t>voor een beroepsgroep om ook na 1 januari 2030 verder gebruik te maken van bepaalde papieren formulieren in het kader van de verplichte verzekering (= verplicht gebruik van eAgreement light vindt voor bepaalde formulieren geen ingang op 1 januari 2030)</w:t>
            </w:r>
            <w:r>
              <w:rPr>
                <w:rFonts w:ascii="Arial" w:hAnsi="Arial" w:cs="Arial"/>
                <w:lang w:val="nl-NL"/>
              </w:rPr>
              <w:t>.</w:t>
            </w:r>
          </w:p>
        </w:tc>
      </w:tr>
      <w:tr w:rsidR="005F50EE" w:rsidRPr="00A827F1" w14:paraId="56FBE031" w14:textId="77777777" w:rsidTr="005F50EE">
        <w:tc>
          <w:tcPr>
            <w:tcW w:w="5104" w:type="dxa"/>
          </w:tcPr>
          <w:p w14:paraId="05C89642" w14:textId="77777777" w:rsidR="005F50EE" w:rsidRPr="00C51760" w:rsidRDefault="005F50EE"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B390EDB" w14:textId="77777777" w:rsidR="005F50EE" w:rsidRPr="00DF4489" w:rsidRDefault="005F50EE" w:rsidP="00477C89">
            <w:pPr>
              <w:tabs>
                <w:tab w:val="left" w:pos="4468"/>
                <w:tab w:val="left" w:pos="5643"/>
                <w:tab w:val="left" w:pos="9747"/>
              </w:tabs>
              <w:spacing w:after="0" w:line="240" w:lineRule="auto"/>
              <w:jc w:val="both"/>
              <w:rPr>
                <w:rFonts w:ascii="Arial" w:hAnsi="Arial" w:cs="Arial"/>
                <w:lang w:val="nl-NL"/>
              </w:rPr>
            </w:pPr>
          </w:p>
        </w:tc>
      </w:tr>
      <w:tr w:rsidR="005F50EE" w:rsidRPr="00A827F1" w14:paraId="4B994665" w14:textId="77777777" w:rsidTr="005F50EE">
        <w:tc>
          <w:tcPr>
            <w:tcW w:w="5104" w:type="dxa"/>
          </w:tcPr>
          <w:p w14:paraId="051FC80C" w14:textId="1A17FCEB" w:rsidR="005F50EE" w:rsidRPr="005F50EE" w:rsidRDefault="005F50EE" w:rsidP="005F50EE">
            <w:pPr>
              <w:tabs>
                <w:tab w:val="left" w:pos="4468"/>
                <w:tab w:val="left" w:pos="5643"/>
                <w:tab w:val="left" w:pos="9747"/>
              </w:tabs>
              <w:spacing w:after="0" w:line="240" w:lineRule="auto"/>
              <w:jc w:val="both"/>
              <w:rPr>
                <w:rFonts w:ascii="Arial" w:hAnsi="Arial" w:cs="Arial"/>
                <w:lang w:val="fr-FR"/>
              </w:rPr>
            </w:pPr>
            <w:r w:rsidRPr="005F50EE">
              <w:rPr>
                <w:rFonts w:ascii="Arial" w:hAnsi="Arial" w:cs="Arial"/>
                <w:lang w:val="fr-FR"/>
              </w:rPr>
              <w:t>Les situations d’exceptions à la facturation électronique obligatoire dans en en dehors du tiers payant qui sont prévues spécifiquement pour les médecins et dentistes aux arrêtés royaux du 28 juin 2023 forment une lex specialis : les adaptations proposées à la présente section sont sans influence sur celles-ci.</w:t>
            </w:r>
          </w:p>
        </w:tc>
        <w:tc>
          <w:tcPr>
            <w:tcW w:w="5104" w:type="dxa"/>
          </w:tcPr>
          <w:p w14:paraId="2F4A2C7B" w14:textId="1BE60300" w:rsidR="005F50EE" w:rsidRPr="005F50EE" w:rsidRDefault="005F50EE" w:rsidP="00477C89">
            <w:pPr>
              <w:tabs>
                <w:tab w:val="left" w:pos="4468"/>
                <w:tab w:val="left" w:pos="5643"/>
                <w:tab w:val="left" w:pos="9747"/>
              </w:tabs>
              <w:spacing w:after="0" w:line="240" w:lineRule="auto"/>
              <w:jc w:val="both"/>
              <w:rPr>
                <w:rFonts w:ascii="Arial" w:hAnsi="Arial" w:cs="Arial"/>
                <w:lang w:val="nl-NL"/>
              </w:rPr>
            </w:pPr>
            <w:r w:rsidRPr="005F50EE">
              <w:rPr>
                <w:rFonts w:ascii="Arial" w:hAnsi="Arial" w:cs="Arial"/>
                <w:lang w:val="nl-NL"/>
              </w:rPr>
              <w:t>De uitzonderingssituaties op de verplichte elektronische facturatie binnen en buiten het kader van de derdebetalersregeling die specifiek voor artsen en tandartsen zijn voorzien in de koninklijke besluiten van 28 juni 2023 gelden als een lex specialis: de aanpassingen zoals voorgesteld in deze afdeling hebben er geen invloed op.</w:t>
            </w:r>
          </w:p>
        </w:tc>
      </w:tr>
      <w:tr w:rsidR="00477C89" w:rsidRPr="00A827F1" w14:paraId="546A0650" w14:textId="77777777" w:rsidTr="005F50EE">
        <w:tc>
          <w:tcPr>
            <w:tcW w:w="5104" w:type="dxa"/>
          </w:tcPr>
          <w:p w14:paraId="78A4F6C5" w14:textId="2B02817A" w:rsidR="00477C89" w:rsidRPr="005F50E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B9BD5E8" w14:textId="69E255CD" w:rsidR="00477C89" w:rsidRPr="005F50EE"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DF4489" w14:paraId="3726AC21" w14:textId="77777777" w:rsidTr="005F50EE">
        <w:tc>
          <w:tcPr>
            <w:tcW w:w="5104" w:type="dxa"/>
          </w:tcPr>
          <w:p w14:paraId="5001BEF5" w14:textId="68D93ED1" w:rsidR="00477C89" w:rsidRPr="00DF4489" w:rsidRDefault="00477C89" w:rsidP="00477C89">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X+9</w:t>
            </w:r>
            <w:r w:rsidRPr="00DF4489">
              <w:rPr>
                <w:rFonts w:ascii="Arial" w:eastAsia="Times New Roman" w:hAnsi="Arial" w:cs="Arial"/>
                <w:b/>
                <w:i/>
                <w:lang w:val="fr-FR"/>
              </w:rPr>
              <w:t xml:space="preserve"> –</w:t>
            </w:r>
            <w:r>
              <w:rPr>
                <w:rFonts w:ascii="Arial" w:eastAsia="Times New Roman" w:hAnsi="Arial" w:cs="Arial"/>
                <w:b/>
                <w:i/>
                <w:lang w:val="fr-FR"/>
              </w:rPr>
              <w:t xml:space="preserve"> Numéros INAMI</w:t>
            </w:r>
            <w:r w:rsidRPr="00DF4489">
              <w:rPr>
                <w:rFonts w:ascii="Arial" w:eastAsia="Times New Roman" w:hAnsi="Arial" w:cs="Arial"/>
                <w:b/>
                <w:i/>
                <w:lang w:val="fr-FR"/>
              </w:rPr>
              <w:t xml:space="preserve"> </w:t>
            </w:r>
          </w:p>
        </w:tc>
        <w:tc>
          <w:tcPr>
            <w:tcW w:w="5104" w:type="dxa"/>
          </w:tcPr>
          <w:p w14:paraId="6E07AA8C" w14:textId="05E8B914" w:rsidR="00477C89" w:rsidRPr="00DF4489" w:rsidRDefault="00477C89" w:rsidP="00477C89">
            <w:pPr>
              <w:spacing w:after="0" w:line="240" w:lineRule="auto"/>
              <w:jc w:val="center"/>
              <w:outlineLvl w:val="0"/>
              <w:rPr>
                <w:rFonts w:ascii="Arial" w:eastAsia="Times New Roman" w:hAnsi="Arial" w:cs="Arial"/>
                <w:i/>
                <w:lang w:val="fr-BE"/>
              </w:rPr>
            </w:pPr>
            <w:commentRangeStart w:id="18"/>
            <w:r w:rsidRPr="00DF4489">
              <w:rPr>
                <w:rFonts w:ascii="Arial" w:eastAsia="Times New Roman" w:hAnsi="Arial" w:cs="Arial"/>
                <w:b/>
                <w:i/>
                <w:lang w:val="nl-BE"/>
              </w:rPr>
              <w:t xml:space="preserve">Afdeling </w:t>
            </w:r>
            <w:r>
              <w:rPr>
                <w:rFonts w:ascii="Arial" w:eastAsia="Times New Roman" w:hAnsi="Arial" w:cs="Arial"/>
                <w:b/>
                <w:i/>
                <w:lang w:val="nl-BE"/>
              </w:rPr>
              <w:t>X+9</w:t>
            </w:r>
            <w:r w:rsidRPr="00DF4489">
              <w:rPr>
                <w:rFonts w:ascii="Arial" w:eastAsia="Times New Roman" w:hAnsi="Arial" w:cs="Arial"/>
                <w:b/>
                <w:i/>
                <w:lang w:val="nl-BE"/>
              </w:rPr>
              <w:t xml:space="preserve"> –</w:t>
            </w:r>
            <w:r>
              <w:rPr>
                <w:rFonts w:ascii="Arial" w:eastAsia="Times New Roman" w:hAnsi="Arial" w:cs="Arial"/>
                <w:b/>
                <w:i/>
                <w:lang w:val="nl-BE"/>
              </w:rPr>
              <w:t xml:space="preserve"> RIZIV-nummers</w:t>
            </w:r>
            <w:r w:rsidRPr="00DF4489">
              <w:rPr>
                <w:rFonts w:ascii="Arial" w:eastAsia="Times New Roman" w:hAnsi="Arial" w:cs="Arial"/>
                <w:b/>
                <w:i/>
                <w:lang w:val="nl-BE"/>
              </w:rPr>
              <w:t xml:space="preserve"> </w:t>
            </w:r>
            <w:commentRangeEnd w:id="18"/>
            <w:r>
              <w:rPr>
                <w:rStyle w:val="Verwijzingopmerking"/>
              </w:rPr>
              <w:commentReference w:id="18"/>
            </w:r>
          </w:p>
        </w:tc>
      </w:tr>
      <w:tr w:rsidR="00477C89" w:rsidRPr="00DF4489" w14:paraId="46BB08FA" w14:textId="77777777" w:rsidTr="005F50EE">
        <w:tc>
          <w:tcPr>
            <w:tcW w:w="5104" w:type="dxa"/>
          </w:tcPr>
          <w:p w14:paraId="61A63DC9"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19D3304"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219D1ECF" w14:textId="77777777" w:rsidTr="005F50EE">
        <w:tc>
          <w:tcPr>
            <w:tcW w:w="5104" w:type="dxa"/>
          </w:tcPr>
          <w:p w14:paraId="10544793" w14:textId="2768E7AC"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+49</w:t>
            </w:r>
          </w:p>
        </w:tc>
        <w:tc>
          <w:tcPr>
            <w:tcW w:w="5104" w:type="dxa"/>
          </w:tcPr>
          <w:p w14:paraId="0C4A8356" w14:textId="6C96B13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+49</w:t>
            </w:r>
          </w:p>
        </w:tc>
      </w:tr>
      <w:tr w:rsidR="00477C89" w:rsidRPr="00C51760" w14:paraId="2DDD29F2" w14:textId="77777777" w:rsidTr="005F50EE">
        <w:tc>
          <w:tcPr>
            <w:tcW w:w="5104" w:type="dxa"/>
          </w:tcPr>
          <w:p w14:paraId="013D9338"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245766E"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0CB91FF0" w14:textId="77777777" w:rsidTr="005F50EE">
        <w:tc>
          <w:tcPr>
            <w:tcW w:w="5104" w:type="dxa"/>
          </w:tcPr>
          <w:p w14:paraId="15BC43C2" w14:textId="02CACDF6"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r w:rsidRPr="00F84DEF">
              <w:rPr>
                <w:rFonts w:ascii="Arial" w:hAnsi="Arial" w:cs="Arial"/>
                <w:lang w:val="fr-FR"/>
              </w:rPr>
              <w:t xml:space="preserve">Cet article vise à ancrer dans la loi coordonnée le principe fondamental selon lequel les dispensateurs de soins doivent disposer d'un numéro INAMI actif, attribué par l'INAMI, afin de pouvoir </w:t>
            </w:r>
            <w:r>
              <w:rPr>
                <w:rFonts w:ascii="Arial" w:hAnsi="Arial" w:cs="Arial"/>
                <w:lang w:val="fr-FR"/>
              </w:rPr>
              <w:t xml:space="preserve">attester et/ou </w:t>
            </w:r>
            <w:r w:rsidRPr="00F84DEF">
              <w:rPr>
                <w:rFonts w:ascii="Arial" w:hAnsi="Arial" w:cs="Arial"/>
                <w:lang w:val="fr-FR"/>
              </w:rPr>
              <w:t>facturer des prestations à l'assurance maladie obligatoire.</w:t>
            </w:r>
          </w:p>
          <w:p w14:paraId="76686202" w14:textId="071767D7"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D84DA58" w14:textId="394C136F"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 xml:space="preserve">Dit artikel heeft als doel om in de gecoördineerde wet het basisbeginsel te verankeren dat zorgverleners moeten beschikken over een actief RIZIV-nummer, uitgereikt door het RIZIV, om prestaties te kunnen </w:t>
            </w:r>
            <w:r>
              <w:rPr>
                <w:rFonts w:ascii="Arial" w:hAnsi="Arial" w:cs="Arial"/>
                <w:lang w:val="nl-NL"/>
              </w:rPr>
              <w:t xml:space="preserve">attesteren en/of </w:t>
            </w:r>
            <w:r w:rsidRPr="00C51760">
              <w:rPr>
                <w:rFonts w:ascii="Arial" w:hAnsi="Arial" w:cs="Arial"/>
                <w:lang w:val="nl-NL"/>
              </w:rPr>
              <w:t>aanrekenen aan de verplichte ziekteverzekering.</w:t>
            </w:r>
          </w:p>
        </w:tc>
      </w:tr>
      <w:tr w:rsidR="00477C89" w:rsidRPr="00A827F1" w14:paraId="233F3B8A" w14:textId="77777777" w:rsidTr="005F50EE">
        <w:tc>
          <w:tcPr>
            <w:tcW w:w="5104" w:type="dxa"/>
          </w:tcPr>
          <w:p w14:paraId="005345CD"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5A98425"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322ED34" w14:textId="77777777" w:rsidTr="005F50EE">
        <w:tc>
          <w:tcPr>
            <w:tcW w:w="5104" w:type="dxa"/>
          </w:tcPr>
          <w:p w14:paraId="27B69A98" w14:textId="2929C87A" w:rsidR="00477C89" w:rsidRPr="00F84DEF" w:rsidRDefault="00477C89" w:rsidP="00477C89">
            <w:pPr>
              <w:tabs>
                <w:tab w:val="left" w:pos="4468"/>
                <w:tab w:val="left" w:pos="5643"/>
                <w:tab w:val="left" w:pos="9747"/>
              </w:tabs>
              <w:spacing w:after="0" w:line="240" w:lineRule="auto"/>
              <w:jc w:val="both"/>
              <w:rPr>
                <w:rFonts w:ascii="Arial" w:hAnsi="Arial" w:cs="Arial"/>
                <w:lang w:val="fr-FR"/>
              </w:rPr>
            </w:pPr>
            <w:r w:rsidRPr="00F84DEF">
              <w:rPr>
                <w:rFonts w:ascii="Arial" w:hAnsi="Arial" w:cs="Arial"/>
                <w:lang w:val="fr-FR"/>
              </w:rPr>
              <w:t>Par « actif », on entend que le numéro ne peut être utilisé que par le dispensateur de soins concerné s'il n'a pas été suspendu par le</w:t>
            </w:r>
            <w:r>
              <w:rPr>
                <w:rFonts w:ascii="Arial" w:hAnsi="Arial" w:cs="Arial"/>
                <w:lang w:val="fr-FR"/>
              </w:rPr>
              <w:t>s</w:t>
            </w:r>
            <w:r w:rsidRPr="00F84DEF">
              <w:rPr>
                <w:rFonts w:ascii="Arial" w:hAnsi="Arial" w:cs="Arial"/>
                <w:lang w:val="fr-FR"/>
              </w:rPr>
              <w:t xml:space="preserve"> </w:t>
            </w:r>
            <w:r w:rsidRPr="00DA1E11">
              <w:rPr>
                <w:rFonts w:ascii="Arial" w:hAnsi="Arial" w:cs="Arial"/>
                <w:lang w:val="fr-FR"/>
              </w:rPr>
              <w:t xml:space="preserve">juridictions administratives installées auprès du Service d'évaluation et de contrôle médicaux de l'INAMI et à la demande de ce </w:t>
            </w:r>
            <w:r w:rsidRPr="00F84DEF">
              <w:rPr>
                <w:rFonts w:ascii="Arial" w:hAnsi="Arial" w:cs="Arial"/>
                <w:lang w:val="fr-FR"/>
              </w:rPr>
              <w:t>Service dans le cadre de l'application de la législation.</w:t>
            </w:r>
          </w:p>
        </w:tc>
        <w:tc>
          <w:tcPr>
            <w:tcW w:w="5104" w:type="dxa"/>
          </w:tcPr>
          <w:p w14:paraId="235586D9" w14:textId="753AEBB4"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C51760">
              <w:rPr>
                <w:rFonts w:ascii="Arial" w:hAnsi="Arial" w:cs="Arial"/>
                <w:lang w:val="nl-NL"/>
              </w:rPr>
              <w:t xml:space="preserve">Met actief wordt bedoeld dat het nummer slechts kan worden gebruikt door de betrokken zorgverlener wanneer het niet zou zijn geschorst door de </w:t>
            </w:r>
            <w:r w:rsidRPr="00DA1E11">
              <w:rPr>
                <w:rFonts w:ascii="Arial" w:hAnsi="Arial" w:cs="Arial"/>
                <w:lang w:val="nl-NL"/>
              </w:rPr>
              <w:t xml:space="preserve">administratieve rechtscolleges ingesteld bij de Dienst voor geneeskundige evaluatie en controle van het RIZIV op vraag van die </w:t>
            </w:r>
            <w:r w:rsidRPr="00C51760">
              <w:rPr>
                <w:rFonts w:ascii="Arial" w:hAnsi="Arial" w:cs="Arial"/>
                <w:lang w:val="nl-NL"/>
              </w:rPr>
              <w:t>Dienst in het kader van handhaving.</w:t>
            </w:r>
          </w:p>
        </w:tc>
      </w:tr>
      <w:tr w:rsidR="00477C89" w:rsidRPr="00A827F1" w14:paraId="49C7EAAF" w14:textId="77777777" w:rsidTr="005F50EE">
        <w:tc>
          <w:tcPr>
            <w:tcW w:w="5104" w:type="dxa"/>
          </w:tcPr>
          <w:p w14:paraId="61DD6DEC"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6CEE22F"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C11F7F5" w14:textId="77777777" w:rsidTr="005F50EE">
        <w:tc>
          <w:tcPr>
            <w:tcW w:w="5104" w:type="dxa"/>
          </w:tcPr>
          <w:p w14:paraId="317E1D64" w14:textId="17A4B97C" w:rsidR="00477C89" w:rsidRPr="00DA1E11" w:rsidRDefault="00477C89" w:rsidP="00477C89">
            <w:pPr>
              <w:tabs>
                <w:tab w:val="left" w:pos="4468"/>
                <w:tab w:val="left" w:pos="5643"/>
                <w:tab w:val="left" w:pos="9747"/>
              </w:tabs>
              <w:spacing w:after="0" w:line="240" w:lineRule="auto"/>
              <w:jc w:val="both"/>
              <w:rPr>
                <w:rFonts w:ascii="Arial" w:hAnsi="Arial" w:cs="Arial"/>
                <w:lang w:val="fr-FR"/>
              </w:rPr>
            </w:pPr>
            <w:r w:rsidRPr="00DA1E11">
              <w:rPr>
                <w:rFonts w:ascii="Arial" w:hAnsi="Arial" w:cs="Arial"/>
                <w:lang w:val="fr-FR"/>
              </w:rPr>
              <w:t>Le numéro ne sera pas non plus actif durant une période d'interdiction temporaire ou définitive d'exercice de la profession. Si, par exemple, le visa du dispensateur de soins est retiré, le dispensateur de soins n'est plus autorisé à exercer la profession et il est donc logique que le numéro INAMI soit également suspendu. A ce moment-là, le dispensateur de soins ne disposera plus d’un numéro actif.</w:t>
            </w:r>
          </w:p>
        </w:tc>
        <w:tc>
          <w:tcPr>
            <w:tcW w:w="5104" w:type="dxa"/>
          </w:tcPr>
          <w:p w14:paraId="4E3A4265" w14:textId="256C98B9"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DA1E11">
              <w:rPr>
                <w:rFonts w:ascii="Arial" w:hAnsi="Arial" w:cs="Arial"/>
                <w:lang w:val="nl-NL"/>
              </w:rPr>
              <w:t>Het nummer zal ook niet actief zijn gedurende een tijdelijke of definitieve periode van verbod tot uitoefening van het beroep. Wanneer het visum van de zorgverlener bijvoorbeeld ingetrokken zou zijn, mag de zorgverlener het beroep niet uitoefenen en is het dus ook logisch dat het RIZIV nummer opgeschort wordt. De zorgverlener zal op dat moment niet meer beschikken over een actief nummer.</w:t>
            </w:r>
          </w:p>
        </w:tc>
      </w:tr>
      <w:tr w:rsidR="00477C89" w:rsidRPr="00A827F1" w14:paraId="7934D350" w14:textId="77777777" w:rsidTr="005F50EE">
        <w:tc>
          <w:tcPr>
            <w:tcW w:w="5104" w:type="dxa"/>
          </w:tcPr>
          <w:p w14:paraId="025DE5CE"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745BB71"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1F6B8393" w14:textId="77777777" w:rsidTr="005F50EE">
        <w:tc>
          <w:tcPr>
            <w:tcW w:w="5104" w:type="dxa"/>
          </w:tcPr>
          <w:p w14:paraId="56E7B408" w14:textId="4023644D" w:rsidR="00477C89" w:rsidRPr="00DA1E11" w:rsidRDefault="00477C89" w:rsidP="00477C89">
            <w:pPr>
              <w:tabs>
                <w:tab w:val="left" w:pos="4468"/>
                <w:tab w:val="left" w:pos="5643"/>
                <w:tab w:val="left" w:pos="9747"/>
              </w:tabs>
              <w:spacing w:after="0" w:line="240" w:lineRule="auto"/>
              <w:jc w:val="both"/>
              <w:rPr>
                <w:rFonts w:ascii="Arial" w:hAnsi="Arial" w:cs="Arial"/>
                <w:lang w:val="fr-FR"/>
              </w:rPr>
            </w:pPr>
            <w:r w:rsidRPr="00DA1E11">
              <w:rPr>
                <w:rFonts w:ascii="Arial" w:hAnsi="Arial" w:cs="Arial"/>
                <w:lang w:val="fr-FR"/>
              </w:rPr>
              <w:t xml:space="preserve">Ce dispensateur de soins se trouvera donc dans la même situation qu'un dispensateur de soins auquel les juridictions administratives installées auprès du SECM ont imposé la suspension du numéro INAMI comme sanction alternative. Cela signifie que le dispensateur de soins doit informer l'assuré de la </w:t>
            </w:r>
            <w:r w:rsidRPr="00DA1E11">
              <w:rPr>
                <w:rFonts w:ascii="Arial" w:hAnsi="Arial" w:cs="Arial"/>
                <w:lang w:val="fr-FR"/>
              </w:rPr>
              <w:lastRenderedPageBreak/>
              <w:t>suspension du numéro INAMI et que ce qui est prévu à l'article 142, § 1</w:t>
            </w:r>
            <w:r w:rsidRPr="00DA1E11">
              <w:rPr>
                <w:rFonts w:ascii="Arial" w:hAnsi="Arial" w:cs="Arial"/>
                <w:vertAlign w:val="superscript"/>
                <w:lang w:val="fr-FR"/>
              </w:rPr>
              <w:t>er</w:t>
            </w:r>
            <w:r w:rsidRPr="00DA1E11">
              <w:rPr>
                <w:rFonts w:ascii="Arial" w:hAnsi="Arial" w:cs="Arial"/>
                <w:lang w:val="fr-FR"/>
              </w:rPr>
              <w:t>/1, dernier alinéa, s'applique également.</w:t>
            </w:r>
          </w:p>
        </w:tc>
        <w:tc>
          <w:tcPr>
            <w:tcW w:w="5104" w:type="dxa"/>
          </w:tcPr>
          <w:p w14:paraId="11F281D5" w14:textId="4A2DFFFE"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DA1E11">
              <w:rPr>
                <w:rFonts w:ascii="Arial" w:hAnsi="Arial" w:cs="Arial"/>
                <w:lang w:val="nl-NL"/>
              </w:rPr>
              <w:lastRenderedPageBreak/>
              <w:t xml:space="preserve">Die zorgverlener komt dus in dezelfde situatie terecht als een zorgverlener aan wie de administratieve rechtscolleges ingesteld bij de DGEC de opschorting van het RIZIV-nummer opgelegd hebben als alternatieve sanctie. Dat wil zeggen dat de zorgverlener de verzekerde moet </w:t>
            </w:r>
            <w:r w:rsidRPr="00DA1E11">
              <w:rPr>
                <w:rFonts w:ascii="Arial" w:hAnsi="Arial" w:cs="Arial"/>
                <w:lang w:val="nl-NL"/>
              </w:rPr>
              <w:lastRenderedPageBreak/>
              <w:t>informeren over de opschorting van het RIZIV-nummer en dat hetgeen voorzien wordt in artikel 142, § 1/1 laatste lid ook van toepassing zal zijn.</w:t>
            </w:r>
          </w:p>
        </w:tc>
      </w:tr>
      <w:tr w:rsidR="00477C89" w:rsidRPr="00A827F1" w14:paraId="052257D2" w14:textId="77777777" w:rsidTr="005F50EE">
        <w:tc>
          <w:tcPr>
            <w:tcW w:w="5104" w:type="dxa"/>
          </w:tcPr>
          <w:p w14:paraId="430E1184"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DC2CC3F"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4B1EA5B" w14:textId="77777777" w:rsidTr="005F50EE">
        <w:tc>
          <w:tcPr>
            <w:tcW w:w="5104" w:type="dxa"/>
          </w:tcPr>
          <w:p w14:paraId="0376B2A9" w14:textId="3E39161E" w:rsidR="00477C89" w:rsidRPr="00DA1E11" w:rsidRDefault="00477C89" w:rsidP="00477C89">
            <w:pPr>
              <w:tabs>
                <w:tab w:val="left" w:pos="4468"/>
                <w:tab w:val="left" w:pos="5643"/>
                <w:tab w:val="left" w:pos="9747"/>
              </w:tabs>
              <w:spacing w:after="0" w:line="240" w:lineRule="auto"/>
              <w:jc w:val="both"/>
              <w:rPr>
                <w:rFonts w:ascii="Arial" w:hAnsi="Arial" w:cs="Arial"/>
                <w:lang w:val="fr-FR"/>
              </w:rPr>
            </w:pPr>
            <w:r w:rsidRPr="00DA1E11">
              <w:rPr>
                <w:rFonts w:ascii="Arial" w:hAnsi="Arial" w:cs="Arial"/>
                <w:lang w:val="fr-FR"/>
              </w:rPr>
              <w:t xml:space="preserve">Dans le cadre du tiers payant, les prestations dont la date de prestation se situe dans la période d'interdiction d'exercer la profession ne sont pas remboursées par les organismes assureurs au dispensateur de soins concerné. </w:t>
            </w:r>
          </w:p>
        </w:tc>
        <w:tc>
          <w:tcPr>
            <w:tcW w:w="5104" w:type="dxa"/>
          </w:tcPr>
          <w:p w14:paraId="7BB0B237" w14:textId="5EF26296"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DA1E11">
              <w:rPr>
                <w:rFonts w:ascii="Arial" w:hAnsi="Arial" w:cs="Arial"/>
                <w:lang w:val="nl-NL"/>
              </w:rPr>
              <w:t xml:space="preserve">In het kader van de derdebetalersregeling worden de prestaties met prestatiedatum in de periode van verbod tot uitoefening van het beroep niet uitbetaald aan de betrokken zorgverlener door de verzekeringsinstellingen. </w:t>
            </w:r>
          </w:p>
        </w:tc>
      </w:tr>
      <w:tr w:rsidR="00477C89" w:rsidRPr="00A827F1" w14:paraId="043DFF13" w14:textId="77777777" w:rsidTr="005F50EE">
        <w:tc>
          <w:tcPr>
            <w:tcW w:w="5104" w:type="dxa"/>
          </w:tcPr>
          <w:p w14:paraId="6A94F136"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EF691A3"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6F1B314" w14:textId="77777777" w:rsidTr="005F50EE">
        <w:tc>
          <w:tcPr>
            <w:tcW w:w="5104" w:type="dxa"/>
          </w:tcPr>
          <w:p w14:paraId="26C68A3E" w14:textId="5210048D" w:rsidR="00477C89" w:rsidRPr="00DA1E11" w:rsidRDefault="00477C89" w:rsidP="00477C89">
            <w:pPr>
              <w:tabs>
                <w:tab w:val="left" w:pos="4468"/>
                <w:tab w:val="left" w:pos="5643"/>
                <w:tab w:val="left" w:pos="9747"/>
              </w:tabs>
              <w:spacing w:after="0" w:line="240" w:lineRule="auto"/>
              <w:jc w:val="both"/>
              <w:rPr>
                <w:rFonts w:ascii="Arial" w:hAnsi="Arial" w:cs="Arial"/>
                <w:lang w:val="fr-FR"/>
              </w:rPr>
            </w:pPr>
            <w:r w:rsidRPr="00DA1E11">
              <w:rPr>
                <w:rFonts w:ascii="Arial" w:hAnsi="Arial" w:cs="Arial"/>
                <w:lang w:val="fr-FR"/>
              </w:rPr>
              <w:t>En dehors du tiers payant, pour les prestations dont la date de prestation se situe dans la période d'interdiction d'exercer la profession, l'organisme assureur peut rembourser l'assuré et récupérer ensuite le montant indûment remboursé auprès du dispensateur de soins.</w:t>
            </w:r>
          </w:p>
        </w:tc>
        <w:tc>
          <w:tcPr>
            <w:tcW w:w="5104" w:type="dxa"/>
          </w:tcPr>
          <w:p w14:paraId="29B24444" w14:textId="3F1F4B43"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r w:rsidRPr="00DA1E11">
              <w:rPr>
                <w:rFonts w:ascii="Arial" w:hAnsi="Arial" w:cs="Arial"/>
                <w:lang w:val="nl-NL"/>
              </w:rPr>
              <w:t>Buiten de derdebetalersregeling, voor de prestaties met prestatiedatum in de periode van verbod tot uitoefening van het beroep, kan de verzekeringsinstelling wel uitbetalen aan de verzekerde maar het bedrag nadien verhalen bij de zorgverlener.</w:t>
            </w:r>
          </w:p>
        </w:tc>
      </w:tr>
      <w:tr w:rsidR="00477C89" w:rsidRPr="00A827F1" w14:paraId="184BC617" w14:textId="77777777" w:rsidTr="005F50EE">
        <w:tc>
          <w:tcPr>
            <w:tcW w:w="5104" w:type="dxa"/>
          </w:tcPr>
          <w:p w14:paraId="2FE8C37D"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FA06B94"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4F455CF0" w14:textId="77777777" w:rsidTr="005F50EE">
        <w:tc>
          <w:tcPr>
            <w:tcW w:w="5104" w:type="dxa"/>
          </w:tcPr>
          <w:p w14:paraId="7832ECC4" w14:textId="751105B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+50</w:t>
            </w:r>
          </w:p>
        </w:tc>
        <w:tc>
          <w:tcPr>
            <w:tcW w:w="5104" w:type="dxa"/>
          </w:tcPr>
          <w:p w14:paraId="54B217BC" w14:textId="0D7BF575"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commentRangeStart w:id="19"/>
            <w:r w:rsidRPr="00EE6F91">
              <w:rPr>
                <w:rFonts w:ascii="Arial" w:hAnsi="Arial" w:cs="Arial"/>
                <w:b/>
                <w:bCs/>
                <w:lang w:val="nl-NL"/>
              </w:rPr>
              <w:t>Art. X</w:t>
            </w:r>
            <w:r>
              <w:rPr>
                <w:rFonts w:ascii="Arial" w:hAnsi="Arial" w:cs="Arial"/>
                <w:b/>
                <w:bCs/>
                <w:lang w:val="nl-NL"/>
              </w:rPr>
              <w:t>+50</w:t>
            </w:r>
            <w:commentRangeEnd w:id="19"/>
            <w:r>
              <w:rPr>
                <w:rStyle w:val="Verwijzingopmerking"/>
              </w:rPr>
              <w:commentReference w:id="19"/>
            </w:r>
          </w:p>
        </w:tc>
      </w:tr>
      <w:tr w:rsidR="00477C89" w:rsidRPr="00EE6F91" w14:paraId="1192EDEF" w14:textId="77777777" w:rsidTr="005F50EE">
        <w:tc>
          <w:tcPr>
            <w:tcW w:w="5104" w:type="dxa"/>
          </w:tcPr>
          <w:p w14:paraId="330B54A1"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4BA7E7A"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72AEC04" w14:textId="77777777" w:rsidTr="005F50EE">
        <w:tc>
          <w:tcPr>
            <w:tcW w:w="5104" w:type="dxa"/>
          </w:tcPr>
          <w:p w14:paraId="4CBE949C"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Le §</w:t>
            </w:r>
            <w:r>
              <w:rPr>
                <w:rFonts w:ascii="Arial" w:hAnsi="Arial" w:cs="Arial"/>
                <w:lang w:val="fr-FR"/>
              </w:rPr>
              <w:t xml:space="preserve"> </w:t>
            </w:r>
            <w:r w:rsidRPr="00EE6F91">
              <w:rPr>
                <w:rFonts w:ascii="Arial" w:hAnsi="Arial" w:cs="Arial"/>
                <w:lang w:val="fr-FR"/>
              </w:rPr>
              <w:t>1</w:t>
            </w:r>
            <w:r w:rsidRPr="00EE6F91">
              <w:rPr>
                <w:rFonts w:ascii="Arial" w:hAnsi="Arial" w:cs="Arial"/>
                <w:vertAlign w:val="superscript"/>
                <w:lang w:val="fr-FR"/>
              </w:rPr>
              <w:t>er</w:t>
            </w:r>
            <w:r>
              <w:rPr>
                <w:rFonts w:ascii="Arial" w:hAnsi="Arial" w:cs="Arial"/>
                <w:lang w:val="fr-FR"/>
              </w:rPr>
              <w:t xml:space="preserve"> </w:t>
            </w:r>
            <w:r w:rsidRPr="00EE6F91">
              <w:rPr>
                <w:rFonts w:ascii="Arial" w:hAnsi="Arial" w:cs="Arial"/>
                <w:lang w:val="fr-FR"/>
              </w:rPr>
              <w:t>de l’article 73 impose déjà une obligation d’information aux dispensateurs de soins à l’égard des bénéficiaires concernant leur adhésion ou non aux accords.</w:t>
            </w:r>
          </w:p>
        </w:tc>
        <w:tc>
          <w:tcPr>
            <w:tcW w:w="5104" w:type="dxa"/>
          </w:tcPr>
          <w:p w14:paraId="4657F3A5"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Artikel 73, § 1, legt de zorgverleners reeds de verplichting op om de rechthebbenden te informeren of zij al dan niet akkoorden hebben ondertekend.</w:t>
            </w:r>
          </w:p>
        </w:tc>
      </w:tr>
      <w:tr w:rsidR="00477C89" w:rsidRPr="00A827F1" w14:paraId="0E57D025" w14:textId="77777777" w:rsidTr="005F50EE">
        <w:tc>
          <w:tcPr>
            <w:tcW w:w="5104" w:type="dxa"/>
          </w:tcPr>
          <w:p w14:paraId="04AD1E96"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07B1EC3" w14:textId="77777777" w:rsidR="00477C89" w:rsidRPr="00EE6F91" w:rsidRDefault="00477C89" w:rsidP="00477C89">
            <w:pPr>
              <w:tabs>
                <w:tab w:val="left" w:pos="2925"/>
              </w:tabs>
              <w:spacing w:after="0" w:line="240" w:lineRule="auto"/>
              <w:jc w:val="both"/>
              <w:rPr>
                <w:rFonts w:ascii="Arial" w:hAnsi="Arial" w:cs="Arial"/>
                <w:lang w:val="nl-NL"/>
              </w:rPr>
            </w:pPr>
            <w:r w:rsidRPr="00EE6F91">
              <w:rPr>
                <w:rFonts w:ascii="Arial" w:hAnsi="Arial" w:cs="Arial"/>
                <w:lang w:val="nl-NL"/>
              </w:rPr>
              <w:tab/>
            </w:r>
          </w:p>
        </w:tc>
      </w:tr>
      <w:tr w:rsidR="00477C89" w:rsidRPr="00A827F1" w14:paraId="1544428F" w14:textId="77777777" w:rsidTr="005F50EE">
        <w:tc>
          <w:tcPr>
            <w:tcW w:w="5104" w:type="dxa"/>
          </w:tcPr>
          <w:p w14:paraId="59D8E2D9"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Il paraît donc logique de prévoir également dans cet article une obligation similaire lorsque une mesure de suspension du numéro Inami ou une interdiction du tiers payant est prise par les organes visés à l’article 144</w:t>
            </w:r>
            <w:r>
              <w:rPr>
                <w:rFonts w:ascii="Arial" w:hAnsi="Arial" w:cs="Arial"/>
                <w:lang w:val="fr-FR"/>
              </w:rPr>
              <w:t xml:space="preserve">, </w:t>
            </w:r>
            <w:r w:rsidRPr="00EE6F91">
              <w:rPr>
                <w:rFonts w:ascii="Arial" w:hAnsi="Arial" w:cs="Arial"/>
                <w:lang w:val="fr-FR"/>
              </w:rPr>
              <w:t>§</w:t>
            </w:r>
            <w:r>
              <w:rPr>
                <w:rFonts w:ascii="Arial" w:hAnsi="Arial" w:cs="Arial"/>
                <w:lang w:val="fr-FR"/>
              </w:rPr>
              <w:t xml:space="preserve"> </w:t>
            </w:r>
            <w:r w:rsidRPr="00EE6F91">
              <w:rPr>
                <w:rFonts w:ascii="Arial" w:hAnsi="Arial" w:cs="Arial"/>
                <w:lang w:val="fr-FR"/>
              </w:rPr>
              <w:t>1</w:t>
            </w:r>
            <w:r w:rsidRPr="00EE6F91">
              <w:rPr>
                <w:rFonts w:ascii="Arial" w:hAnsi="Arial" w:cs="Arial"/>
                <w:vertAlign w:val="superscript"/>
                <w:lang w:val="fr-FR"/>
              </w:rPr>
              <w:t>er</w:t>
            </w:r>
            <w:r>
              <w:rPr>
                <w:rFonts w:ascii="Arial" w:hAnsi="Arial" w:cs="Arial"/>
                <w:lang w:val="fr-FR"/>
              </w:rPr>
              <w:t>,</w:t>
            </w:r>
            <w:r w:rsidRPr="00EE6F91">
              <w:rPr>
                <w:rFonts w:ascii="Arial" w:hAnsi="Arial" w:cs="Arial"/>
                <w:lang w:val="fr-FR"/>
              </w:rPr>
              <w:t xml:space="preserve"> de la loi. </w:t>
            </w:r>
          </w:p>
          <w:p w14:paraId="70838824"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010AC56B"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Het lijkt daarom logisch om een soortgelijke verplichting in dit artikel op te nemen wanneer een maatregel tot opschorting van het Riziv-nummer of een verbod op de toepassing van de derdebetalersregeling wordt genomen door de organen bedoeld in artikel 144, §</w:t>
            </w:r>
            <w:r>
              <w:rPr>
                <w:rFonts w:ascii="Arial" w:hAnsi="Arial" w:cs="Arial"/>
                <w:lang w:val="nl-NL"/>
              </w:rPr>
              <w:t xml:space="preserve"> </w:t>
            </w:r>
            <w:r w:rsidRPr="00EE6F91">
              <w:rPr>
                <w:rFonts w:ascii="Arial" w:hAnsi="Arial" w:cs="Arial"/>
                <w:lang w:val="nl-NL"/>
              </w:rPr>
              <w:t xml:space="preserve">1, van de wet. </w:t>
            </w:r>
          </w:p>
        </w:tc>
      </w:tr>
      <w:tr w:rsidR="00477C89" w:rsidRPr="00A827F1" w14:paraId="30176567" w14:textId="77777777" w:rsidTr="005F50EE">
        <w:tc>
          <w:tcPr>
            <w:tcW w:w="5104" w:type="dxa"/>
          </w:tcPr>
          <w:p w14:paraId="76BA33A0"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05B77FF" w14:textId="77777777" w:rsidR="00477C89" w:rsidRPr="00EE6F91" w:rsidRDefault="00477C89" w:rsidP="00477C89">
            <w:pPr>
              <w:tabs>
                <w:tab w:val="left" w:pos="2925"/>
              </w:tabs>
              <w:spacing w:after="0" w:line="240" w:lineRule="auto"/>
              <w:jc w:val="both"/>
              <w:rPr>
                <w:rFonts w:ascii="Arial" w:hAnsi="Arial" w:cs="Arial"/>
                <w:lang w:val="nl-NL"/>
              </w:rPr>
            </w:pPr>
          </w:p>
        </w:tc>
      </w:tr>
      <w:tr w:rsidR="00477C89" w:rsidRPr="00A827F1" w14:paraId="5C4B6B24" w14:textId="77777777" w:rsidTr="005F50EE">
        <w:tc>
          <w:tcPr>
            <w:tcW w:w="5104" w:type="dxa"/>
          </w:tcPr>
          <w:p w14:paraId="0C99EC40"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Le dispensateur de soins doit respecter cette obligation avant d'exécuter toute prestation. Ainsi, les bénéficiaires sont libres de décider en toute connaissance de cause de consulter ce dispensateur de soins ou un autre.</w:t>
            </w:r>
          </w:p>
        </w:tc>
        <w:tc>
          <w:tcPr>
            <w:tcW w:w="5104" w:type="dxa"/>
          </w:tcPr>
          <w:p w14:paraId="0808FFD6"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 xml:space="preserve">De zorgverlener moet die verplichting respecteren vooraleer hij een prestatie zou uitvoeren. Op die manier kunnen de rechthebbenden vrij met kennis van zaken beslissen of zij deze of een andere zorgverlener wensen te raadplegen. </w:t>
            </w:r>
          </w:p>
        </w:tc>
      </w:tr>
      <w:tr w:rsidR="00477C89" w:rsidRPr="00A827F1" w14:paraId="13DA3C9B" w14:textId="77777777" w:rsidTr="005F50EE">
        <w:tc>
          <w:tcPr>
            <w:tcW w:w="5104" w:type="dxa"/>
          </w:tcPr>
          <w:p w14:paraId="545A18F9"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F7CDA95" w14:textId="77777777" w:rsidR="00477C89" w:rsidRPr="00EE6F91" w:rsidRDefault="00477C89" w:rsidP="00477C89">
            <w:pPr>
              <w:tabs>
                <w:tab w:val="left" w:pos="2925"/>
              </w:tabs>
              <w:spacing w:after="0" w:line="240" w:lineRule="auto"/>
              <w:jc w:val="both"/>
              <w:rPr>
                <w:rFonts w:ascii="Arial" w:hAnsi="Arial" w:cs="Arial"/>
                <w:lang w:val="nl-NL"/>
              </w:rPr>
            </w:pPr>
          </w:p>
        </w:tc>
      </w:tr>
      <w:tr w:rsidR="00477C89" w:rsidRPr="00A827F1" w14:paraId="791EFBBC" w14:textId="77777777" w:rsidTr="005F50EE">
        <w:tc>
          <w:tcPr>
            <w:tcW w:w="5104" w:type="dxa"/>
          </w:tcPr>
          <w:p w14:paraId="3653BBCF"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Comme pour l'obligation d'information relative au « statut conventionnel », il est également prévu ici que le Roi puisse préciser les modalités d'application. Il peut s'agir, par exemple, d'une mention obligatoire sur le site web du prestataire de soins, un affichage,...</w:t>
            </w:r>
          </w:p>
        </w:tc>
        <w:tc>
          <w:tcPr>
            <w:tcW w:w="5104" w:type="dxa"/>
          </w:tcPr>
          <w:p w14:paraId="4558C233" w14:textId="77777777" w:rsidR="00477C89" w:rsidRPr="00EE6F91" w:rsidRDefault="00477C89" w:rsidP="00477C89">
            <w:pPr>
              <w:tabs>
                <w:tab w:val="left" w:pos="2925"/>
              </w:tabs>
              <w:spacing w:after="0" w:line="240" w:lineRule="auto"/>
              <w:jc w:val="both"/>
              <w:rPr>
                <w:rFonts w:ascii="Arial" w:hAnsi="Arial" w:cs="Arial"/>
                <w:lang w:val="nl-NL"/>
              </w:rPr>
            </w:pPr>
            <w:r w:rsidRPr="00EE6F91">
              <w:rPr>
                <w:rFonts w:ascii="Arial" w:hAnsi="Arial" w:cs="Arial"/>
                <w:lang w:val="nl-NL"/>
              </w:rPr>
              <w:t>Net zoals voor de informatieplicht met betrekking tot de “conventiestatus” wordt ook hier voorzien dat de Koning de toepassingsregels verder kan uitwerken. Daarbij kan bijvoorbeeld gedacht worden aan een verplichte vermelding op de website van de zorgverlener, een affichage,…</w:t>
            </w:r>
          </w:p>
        </w:tc>
      </w:tr>
      <w:tr w:rsidR="00477C89" w:rsidRPr="00A827F1" w14:paraId="17B87E6F" w14:textId="77777777" w:rsidTr="005F50EE">
        <w:tc>
          <w:tcPr>
            <w:tcW w:w="5104" w:type="dxa"/>
          </w:tcPr>
          <w:p w14:paraId="34AC5A00"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30591D5" w14:textId="77777777" w:rsidR="00477C89" w:rsidRPr="00EE6F91" w:rsidRDefault="00477C89" w:rsidP="00477C89">
            <w:pPr>
              <w:tabs>
                <w:tab w:val="left" w:pos="2925"/>
              </w:tabs>
              <w:spacing w:after="0" w:line="240" w:lineRule="auto"/>
              <w:jc w:val="both"/>
              <w:rPr>
                <w:rFonts w:ascii="Arial" w:hAnsi="Arial" w:cs="Arial"/>
                <w:lang w:val="nl-NL"/>
              </w:rPr>
            </w:pPr>
          </w:p>
        </w:tc>
      </w:tr>
      <w:tr w:rsidR="00477C89" w:rsidRPr="00EE6F91" w14:paraId="43C247BF" w14:textId="77777777" w:rsidTr="005F50EE">
        <w:tc>
          <w:tcPr>
            <w:tcW w:w="5104" w:type="dxa"/>
          </w:tcPr>
          <w:p w14:paraId="1BD72AF0" w14:textId="67843FC0"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+51</w:t>
            </w:r>
          </w:p>
        </w:tc>
        <w:tc>
          <w:tcPr>
            <w:tcW w:w="5104" w:type="dxa"/>
          </w:tcPr>
          <w:p w14:paraId="2896FF06" w14:textId="2C4F1C02"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+51</w:t>
            </w:r>
          </w:p>
        </w:tc>
      </w:tr>
      <w:tr w:rsidR="00477C89" w:rsidRPr="00EE6F91" w14:paraId="2EF208E4" w14:textId="77777777" w:rsidTr="005F50EE">
        <w:tc>
          <w:tcPr>
            <w:tcW w:w="5104" w:type="dxa"/>
          </w:tcPr>
          <w:p w14:paraId="0F473791"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A2B6C99"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265A8B83" w14:textId="77777777" w:rsidTr="005F50EE">
        <w:tc>
          <w:tcPr>
            <w:tcW w:w="5104" w:type="dxa"/>
          </w:tcPr>
          <w:p w14:paraId="164BEE78"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Par analogie avec ce qui est actuellement prévu pour un dispensateur de soins qui effectue ou prescrit des prestations pendant une période d'interdiction temporaire ou définitive d'exercer la </w:t>
            </w:r>
            <w:r w:rsidRPr="00E61FB2">
              <w:rPr>
                <w:rFonts w:ascii="Arial" w:hAnsi="Arial" w:cs="Arial"/>
                <w:lang w:val="fr-FR"/>
              </w:rPr>
              <w:lastRenderedPageBreak/>
              <w:t xml:space="preserve">profession, la même infraction est prévue pour la période de suspension du numéro de l'INAMI. </w:t>
            </w:r>
          </w:p>
        </w:tc>
        <w:tc>
          <w:tcPr>
            <w:tcW w:w="5104" w:type="dxa"/>
          </w:tcPr>
          <w:p w14:paraId="7A082AB0"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lastRenderedPageBreak/>
              <w:t xml:space="preserve">Naar analogie met hetgeen momenteel voorzien is voor een zorgverlener die prestaties uitvoert of voorschrijft tijdens een tijdelijke of definitieve periode van verbod tot uitoefening van het beroep, </w:t>
            </w:r>
            <w:r w:rsidRPr="00E61FB2">
              <w:rPr>
                <w:rFonts w:ascii="Arial" w:hAnsi="Arial" w:cs="Arial"/>
                <w:lang w:val="nl-NL"/>
              </w:rPr>
              <w:lastRenderedPageBreak/>
              <w:t xml:space="preserve">wordt dezelfde inbreuk voorzien voor de periode dat het RIZIV-nummer opgeschort is. </w:t>
            </w:r>
          </w:p>
        </w:tc>
      </w:tr>
      <w:tr w:rsidR="00477C89" w:rsidRPr="00A827F1" w14:paraId="428A52F5" w14:textId="77777777" w:rsidTr="005F50EE">
        <w:tc>
          <w:tcPr>
            <w:tcW w:w="5104" w:type="dxa"/>
          </w:tcPr>
          <w:p w14:paraId="7AA6F7E1"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2806407" w14:textId="77777777" w:rsidR="00477C89" w:rsidRPr="00E61FB2" w:rsidRDefault="00477C89" w:rsidP="00477C89">
            <w:pPr>
              <w:tabs>
                <w:tab w:val="left" w:pos="2925"/>
              </w:tabs>
              <w:spacing w:after="0" w:line="240" w:lineRule="auto"/>
              <w:jc w:val="both"/>
              <w:rPr>
                <w:rFonts w:ascii="Arial" w:hAnsi="Arial" w:cs="Arial"/>
                <w:lang w:val="nl-NL"/>
              </w:rPr>
            </w:pPr>
            <w:r w:rsidRPr="00E61FB2">
              <w:rPr>
                <w:rFonts w:ascii="Arial" w:hAnsi="Arial" w:cs="Arial"/>
                <w:lang w:val="nl-NL"/>
              </w:rPr>
              <w:tab/>
            </w:r>
          </w:p>
        </w:tc>
      </w:tr>
      <w:tr w:rsidR="00477C89" w:rsidRPr="00A827F1" w14:paraId="7F501BE9" w14:textId="77777777" w:rsidTr="005F50EE">
        <w:tc>
          <w:tcPr>
            <w:tcW w:w="5104" w:type="dxa"/>
          </w:tcPr>
          <w:p w14:paraId="4F9D68EE" w14:textId="23026838"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Pendant cette période, le dispensateur de soins ne peut pas porter en compte ni attester à l'assurance soins de santé. </w:t>
            </w:r>
          </w:p>
        </w:tc>
        <w:tc>
          <w:tcPr>
            <w:tcW w:w="5104" w:type="dxa"/>
          </w:tcPr>
          <w:p w14:paraId="64CF49D3" w14:textId="68C1A6A3" w:rsidR="00477C89" w:rsidRPr="00C51760" w:rsidRDefault="00477C89" w:rsidP="00477C89">
            <w:pPr>
              <w:tabs>
                <w:tab w:val="left" w:pos="2925"/>
              </w:tabs>
              <w:spacing w:after="0" w:line="240" w:lineRule="auto"/>
              <w:jc w:val="both"/>
              <w:rPr>
                <w:rFonts w:ascii="Arial" w:hAnsi="Arial" w:cs="Arial"/>
                <w:lang w:val="nl-NL"/>
              </w:rPr>
            </w:pPr>
            <w:r w:rsidRPr="00E61FB2">
              <w:rPr>
                <w:rFonts w:ascii="Arial" w:hAnsi="Arial" w:cs="Arial"/>
                <w:lang w:val="nl-NL"/>
              </w:rPr>
              <w:t xml:space="preserve">In die periode mag de zorgverlener niet aanrekenen noch attesteren aan de verzekering voor geneeskundige verzorging. </w:t>
            </w:r>
          </w:p>
        </w:tc>
      </w:tr>
      <w:tr w:rsidR="00477C89" w:rsidRPr="00A827F1" w14:paraId="79E22F3F" w14:textId="77777777" w:rsidTr="005F50EE">
        <w:tc>
          <w:tcPr>
            <w:tcW w:w="5104" w:type="dxa"/>
          </w:tcPr>
          <w:p w14:paraId="207F11B8"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5D790FE" w14:textId="77777777" w:rsidR="00477C89" w:rsidRPr="00C51760" w:rsidRDefault="00477C89" w:rsidP="00477C89">
            <w:pPr>
              <w:tabs>
                <w:tab w:val="left" w:pos="2925"/>
              </w:tabs>
              <w:spacing w:after="0" w:line="240" w:lineRule="auto"/>
              <w:jc w:val="both"/>
              <w:rPr>
                <w:rFonts w:ascii="Arial" w:hAnsi="Arial" w:cs="Arial"/>
                <w:lang w:val="nl-NL"/>
              </w:rPr>
            </w:pPr>
          </w:p>
        </w:tc>
      </w:tr>
      <w:tr w:rsidR="00477C89" w:rsidRPr="00A827F1" w14:paraId="47B8A76D" w14:textId="77777777" w:rsidTr="005F50EE">
        <w:tc>
          <w:tcPr>
            <w:tcW w:w="5104" w:type="dxa"/>
          </w:tcPr>
          <w:p w14:paraId="6F1C19D5" w14:textId="27A26690" w:rsidR="00477C89" w:rsidRPr="00E94D80" w:rsidRDefault="00477C89" w:rsidP="00477C89">
            <w:pPr>
              <w:tabs>
                <w:tab w:val="left" w:pos="4468"/>
                <w:tab w:val="left" w:pos="5643"/>
                <w:tab w:val="left" w:pos="9747"/>
              </w:tabs>
              <w:spacing w:after="0" w:line="240" w:lineRule="auto"/>
              <w:jc w:val="both"/>
              <w:rPr>
                <w:rFonts w:ascii="Arial" w:hAnsi="Arial" w:cs="Arial"/>
                <w:lang w:val="fr-FR"/>
              </w:rPr>
            </w:pPr>
            <w:r>
              <w:rPr>
                <w:rFonts w:ascii="Arial" w:hAnsi="Arial" w:cs="Arial"/>
                <w:lang w:val="fr-FR"/>
              </w:rPr>
              <w:t>Si</w:t>
            </w:r>
            <w:r w:rsidRPr="00E61FB2">
              <w:rPr>
                <w:rFonts w:ascii="Arial" w:hAnsi="Arial" w:cs="Arial"/>
                <w:lang w:val="fr-FR"/>
              </w:rPr>
              <w:t xml:space="preserve"> le dispensateur de soins tentait tout de même de le faire, </w:t>
            </w:r>
            <w:r w:rsidRPr="00DA1E11">
              <w:rPr>
                <w:rFonts w:ascii="Arial" w:hAnsi="Arial" w:cs="Arial"/>
                <w:lang w:val="fr-FR"/>
              </w:rPr>
              <w:t>et que les organismes assureurs payaient le dispensateur de soins ou l’assuré,</w:t>
            </w:r>
            <w:r>
              <w:rPr>
                <w:rFonts w:ascii="Arial" w:hAnsi="Arial" w:cs="Arial"/>
                <w:lang w:val="fr-FR"/>
              </w:rPr>
              <w:t xml:space="preserve"> </w:t>
            </w:r>
            <w:r w:rsidRPr="00E61FB2">
              <w:rPr>
                <w:rFonts w:ascii="Arial" w:hAnsi="Arial" w:cs="Arial"/>
                <w:lang w:val="fr-FR"/>
              </w:rPr>
              <w:t xml:space="preserve">ces prestations pourraient être qualifiées d'infractions au sens de l'article 73bis, 1° de la loi SSI. </w:t>
            </w:r>
          </w:p>
        </w:tc>
        <w:tc>
          <w:tcPr>
            <w:tcW w:w="5104" w:type="dxa"/>
          </w:tcPr>
          <w:p w14:paraId="2417FFAF" w14:textId="1C456AEC" w:rsidR="00477C89" w:rsidRPr="00C51760" w:rsidRDefault="00477C89" w:rsidP="00477C89">
            <w:pPr>
              <w:tabs>
                <w:tab w:val="left" w:pos="2925"/>
              </w:tabs>
              <w:spacing w:after="0" w:line="240" w:lineRule="auto"/>
              <w:jc w:val="both"/>
              <w:rPr>
                <w:rFonts w:ascii="Arial" w:hAnsi="Arial" w:cs="Arial"/>
                <w:lang w:val="nl-NL"/>
              </w:rPr>
            </w:pPr>
            <w:r w:rsidRPr="00E61FB2">
              <w:rPr>
                <w:rFonts w:ascii="Arial" w:hAnsi="Arial" w:cs="Arial"/>
                <w:lang w:val="nl-NL"/>
              </w:rPr>
              <w:t xml:space="preserve">Stel dat die zorgverlener dat toch zou proberen, </w:t>
            </w:r>
            <w:r w:rsidRPr="00347376">
              <w:rPr>
                <w:rFonts w:ascii="Arial" w:hAnsi="Arial" w:cs="Arial"/>
                <w:lang w:val="nl-NL"/>
              </w:rPr>
              <w:t xml:space="preserve">en de verzekeringsinstellingen zouden toch uitbetalen aan de zorgverlener of aan de verzekerde, </w:t>
            </w:r>
            <w:r w:rsidRPr="00E61FB2">
              <w:rPr>
                <w:rFonts w:ascii="Arial" w:hAnsi="Arial" w:cs="Arial"/>
                <w:lang w:val="nl-NL"/>
              </w:rPr>
              <w:t xml:space="preserve">dan kunnen die prestaties gekwalificeerd worden als inbreuken zoals voorzien in artikel 73bis, 1° GVU-wet. </w:t>
            </w:r>
          </w:p>
        </w:tc>
      </w:tr>
      <w:tr w:rsidR="00477C89" w:rsidRPr="00A827F1" w14:paraId="34108D35" w14:textId="77777777" w:rsidTr="005F50EE">
        <w:tc>
          <w:tcPr>
            <w:tcW w:w="5104" w:type="dxa"/>
          </w:tcPr>
          <w:p w14:paraId="7414AE32"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86BA11C" w14:textId="77777777" w:rsidR="00477C89" w:rsidRPr="00C51760" w:rsidRDefault="00477C89" w:rsidP="00477C89">
            <w:pPr>
              <w:tabs>
                <w:tab w:val="left" w:pos="2925"/>
              </w:tabs>
              <w:spacing w:after="0" w:line="240" w:lineRule="auto"/>
              <w:jc w:val="both"/>
              <w:rPr>
                <w:rFonts w:ascii="Arial" w:hAnsi="Arial" w:cs="Arial"/>
                <w:lang w:val="nl-NL"/>
              </w:rPr>
            </w:pPr>
          </w:p>
        </w:tc>
      </w:tr>
      <w:tr w:rsidR="00477C89" w:rsidRPr="00A827F1" w14:paraId="21BD8FA5" w14:textId="77777777" w:rsidTr="005F50EE">
        <w:tc>
          <w:tcPr>
            <w:tcW w:w="5104" w:type="dxa"/>
          </w:tcPr>
          <w:p w14:paraId="1E411752" w14:textId="20879A9C" w:rsidR="00477C89" w:rsidRPr="00DA1E11"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Dans ce cas, </w:t>
            </w:r>
            <w:r w:rsidRPr="00347376">
              <w:rPr>
                <w:rFonts w:ascii="Arial" w:hAnsi="Arial" w:cs="Arial"/>
                <w:lang w:val="fr-FR"/>
              </w:rPr>
              <w:t xml:space="preserve">et à défaut de récupération de l’indu par l’organisme assureur, </w:t>
            </w:r>
            <w:r w:rsidRPr="00E61FB2">
              <w:rPr>
                <w:rFonts w:ascii="Arial" w:hAnsi="Arial" w:cs="Arial"/>
                <w:lang w:val="fr-FR"/>
              </w:rPr>
              <w:t>le remboursement sera poursuivi par le SECM</w:t>
            </w:r>
            <w:r>
              <w:rPr>
                <w:rFonts w:ascii="Arial" w:hAnsi="Arial" w:cs="Arial"/>
                <w:lang w:val="fr-FR"/>
              </w:rPr>
              <w:t xml:space="preserve"> auprès du dispensateur de soins concerné</w:t>
            </w:r>
            <w:r w:rsidRPr="00E61FB2">
              <w:rPr>
                <w:rFonts w:ascii="Arial" w:hAnsi="Arial" w:cs="Arial"/>
                <w:lang w:val="fr-FR"/>
              </w:rPr>
              <w:t>.</w:t>
            </w:r>
          </w:p>
        </w:tc>
        <w:tc>
          <w:tcPr>
            <w:tcW w:w="5104" w:type="dxa"/>
          </w:tcPr>
          <w:p w14:paraId="42285E7C" w14:textId="0D4320E7" w:rsidR="00477C89" w:rsidRPr="00347376" w:rsidRDefault="00477C89" w:rsidP="00477C89">
            <w:pPr>
              <w:tabs>
                <w:tab w:val="left" w:pos="2925"/>
              </w:tabs>
              <w:spacing w:after="0" w:line="240" w:lineRule="auto"/>
              <w:jc w:val="both"/>
              <w:rPr>
                <w:rFonts w:ascii="Arial" w:hAnsi="Arial" w:cs="Arial"/>
                <w:lang w:val="nl-NL"/>
              </w:rPr>
            </w:pPr>
            <w:r w:rsidRPr="00E61FB2">
              <w:rPr>
                <w:rFonts w:ascii="Arial" w:hAnsi="Arial" w:cs="Arial"/>
                <w:lang w:val="nl-NL"/>
              </w:rPr>
              <w:t>In dat geval</w:t>
            </w:r>
            <w:r w:rsidRPr="00347376">
              <w:rPr>
                <w:rFonts w:ascii="Arial" w:hAnsi="Arial" w:cs="Arial"/>
                <w:lang w:val="nl-NL"/>
              </w:rPr>
              <w:t xml:space="preserve">, en bij gebrek aan een recuperatie van het bedrag door de verzekeringsinstellingen, </w:t>
            </w:r>
            <w:r w:rsidRPr="00E61FB2">
              <w:rPr>
                <w:rFonts w:ascii="Arial" w:hAnsi="Arial" w:cs="Arial"/>
                <w:lang w:val="nl-NL"/>
              </w:rPr>
              <w:t xml:space="preserve"> zal de terugbetaling gevorderd worden </w:t>
            </w:r>
            <w:r w:rsidRPr="00347376">
              <w:rPr>
                <w:rFonts w:ascii="Arial" w:hAnsi="Arial" w:cs="Arial"/>
                <w:lang w:val="nl-NL"/>
              </w:rPr>
              <w:t xml:space="preserve">bij de betrokken zorgverlener </w:t>
            </w:r>
            <w:r w:rsidRPr="00E61FB2">
              <w:rPr>
                <w:rFonts w:ascii="Arial" w:hAnsi="Arial" w:cs="Arial"/>
                <w:lang w:val="nl-NL"/>
              </w:rPr>
              <w:t>door de DGEC.</w:t>
            </w:r>
          </w:p>
        </w:tc>
      </w:tr>
      <w:tr w:rsidR="00477C89" w:rsidRPr="00A827F1" w14:paraId="69D67DCC" w14:textId="77777777" w:rsidTr="005F50EE">
        <w:tc>
          <w:tcPr>
            <w:tcW w:w="5104" w:type="dxa"/>
          </w:tcPr>
          <w:p w14:paraId="2D264AA3" w14:textId="702AD8DA" w:rsidR="00477C89" w:rsidRPr="00347376"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10A0E61" w14:textId="77777777" w:rsidR="00477C89" w:rsidRPr="00347376" w:rsidRDefault="00477C89" w:rsidP="00477C89">
            <w:pPr>
              <w:tabs>
                <w:tab w:val="left" w:pos="2925"/>
              </w:tabs>
              <w:spacing w:after="0" w:line="240" w:lineRule="auto"/>
              <w:jc w:val="both"/>
              <w:rPr>
                <w:rFonts w:ascii="Arial" w:hAnsi="Arial" w:cs="Arial"/>
                <w:lang w:val="nl-NL"/>
              </w:rPr>
            </w:pPr>
          </w:p>
        </w:tc>
      </w:tr>
      <w:tr w:rsidR="00477C89" w:rsidRPr="00A827F1" w14:paraId="436CD243" w14:textId="77777777" w:rsidTr="005F50EE">
        <w:tc>
          <w:tcPr>
            <w:tcW w:w="5104" w:type="dxa"/>
          </w:tcPr>
          <w:p w14:paraId="5328816E" w14:textId="36CE1829" w:rsidR="00477C89" w:rsidRPr="00DA1E11" w:rsidRDefault="00477C89" w:rsidP="00477C89">
            <w:pPr>
              <w:tabs>
                <w:tab w:val="left" w:pos="4468"/>
                <w:tab w:val="left" w:pos="5643"/>
                <w:tab w:val="left" w:pos="9747"/>
              </w:tabs>
              <w:spacing w:after="0" w:line="240" w:lineRule="auto"/>
              <w:jc w:val="both"/>
              <w:rPr>
                <w:rFonts w:ascii="Arial" w:hAnsi="Arial" w:cs="Arial"/>
                <w:lang w:val="fr-FR"/>
              </w:rPr>
            </w:pPr>
            <w:r w:rsidRPr="00DA1E11">
              <w:rPr>
                <w:rFonts w:ascii="Arial" w:hAnsi="Arial" w:cs="Arial"/>
                <w:lang w:val="fr-FR"/>
              </w:rPr>
              <w:t>Cette infraction est donc prévue pour couvrir tous les cas de figures.</w:t>
            </w:r>
          </w:p>
        </w:tc>
        <w:tc>
          <w:tcPr>
            <w:tcW w:w="5104" w:type="dxa"/>
          </w:tcPr>
          <w:p w14:paraId="53FA466E" w14:textId="1F90FBDB" w:rsidR="00477C89" w:rsidRPr="00347376" w:rsidRDefault="00477C89" w:rsidP="00477C89">
            <w:pPr>
              <w:tabs>
                <w:tab w:val="left" w:pos="2925"/>
              </w:tabs>
              <w:spacing w:after="0" w:line="240" w:lineRule="auto"/>
              <w:jc w:val="both"/>
              <w:rPr>
                <w:rFonts w:ascii="Arial" w:hAnsi="Arial" w:cs="Arial"/>
                <w:lang w:val="nl-NL"/>
              </w:rPr>
            </w:pPr>
            <w:r w:rsidRPr="00347376">
              <w:rPr>
                <w:rFonts w:ascii="Arial" w:hAnsi="Arial" w:cs="Arial"/>
                <w:lang w:val="nl-NL"/>
              </w:rPr>
              <w:t>Deze inbreuk wordt dus voorzien om alle mogelijke hypotheses af te dekken.</w:t>
            </w:r>
          </w:p>
        </w:tc>
      </w:tr>
      <w:tr w:rsidR="00477C89" w:rsidRPr="00A827F1" w14:paraId="62A8D162" w14:textId="77777777" w:rsidTr="005F50EE">
        <w:tc>
          <w:tcPr>
            <w:tcW w:w="5104" w:type="dxa"/>
          </w:tcPr>
          <w:p w14:paraId="3F4BA7F0" w14:textId="77777777" w:rsidR="00477C89" w:rsidRPr="00347376"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4768A69" w14:textId="77777777" w:rsidR="00477C89" w:rsidRPr="00347376" w:rsidRDefault="00477C89" w:rsidP="00477C89">
            <w:pPr>
              <w:tabs>
                <w:tab w:val="left" w:pos="2925"/>
              </w:tabs>
              <w:spacing w:after="0" w:line="240" w:lineRule="auto"/>
              <w:jc w:val="both"/>
              <w:rPr>
                <w:rFonts w:ascii="Arial" w:hAnsi="Arial" w:cs="Arial"/>
                <w:lang w:val="nl-NL"/>
              </w:rPr>
            </w:pPr>
          </w:p>
        </w:tc>
      </w:tr>
      <w:tr w:rsidR="00477C89" w:rsidRPr="00EE6F91" w14:paraId="65F7E842" w14:textId="77777777" w:rsidTr="005F50EE">
        <w:tc>
          <w:tcPr>
            <w:tcW w:w="5104" w:type="dxa"/>
          </w:tcPr>
          <w:p w14:paraId="01758462" w14:textId="25E1AFA5"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+52</w:t>
            </w:r>
          </w:p>
        </w:tc>
        <w:tc>
          <w:tcPr>
            <w:tcW w:w="5104" w:type="dxa"/>
          </w:tcPr>
          <w:p w14:paraId="146446AC" w14:textId="4E7E6CA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+52</w:t>
            </w:r>
          </w:p>
        </w:tc>
      </w:tr>
      <w:tr w:rsidR="00477C89" w:rsidRPr="00EE6F91" w14:paraId="6567427F" w14:textId="77777777" w:rsidTr="005F50EE">
        <w:tc>
          <w:tcPr>
            <w:tcW w:w="5104" w:type="dxa"/>
          </w:tcPr>
          <w:p w14:paraId="72962505"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5172EB3"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6AA24257" w14:textId="77777777" w:rsidTr="005F50EE">
        <w:tc>
          <w:tcPr>
            <w:tcW w:w="5104" w:type="dxa"/>
          </w:tcPr>
          <w:p w14:paraId="456EE830"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De la jurisprudence des juridictions administratives, il apparait que l’amende administrative a un double objectif (par exemple, KvB 12 mars 2024, NB-005-23). D’une part, l’amende sert à punir le dispensateur de soins et, d’autre part, elle sert à dissuader le dispensateur de soins de commettre encore une infraction à l’avenir.</w:t>
            </w:r>
          </w:p>
        </w:tc>
        <w:tc>
          <w:tcPr>
            <w:tcW w:w="5104" w:type="dxa"/>
          </w:tcPr>
          <w:p w14:paraId="4ACE6269"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Uit de rechtspraak van de administratieve rechtscolleges blijkt dat de administratieve geldboete een dubbel doel dient (bijvoorbeeld Kvb 12 maart 2024, NB 005-23). Enerzijds dient de geldboete om de zorgverlener te bestraffen, anderzijds dient de geldboete er voor om de zorgverlener af te schrikken in de toekomst nog een inbreuk te begaan. </w:t>
            </w:r>
          </w:p>
        </w:tc>
      </w:tr>
      <w:tr w:rsidR="00477C89" w:rsidRPr="00A827F1" w14:paraId="2591CD5A" w14:textId="77777777" w:rsidTr="005F50EE">
        <w:tc>
          <w:tcPr>
            <w:tcW w:w="5104" w:type="dxa"/>
          </w:tcPr>
          <w:p w14:paraId="6DD7E888"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F009CF3"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634F0DF9" w14:textId="77777777" w:rsidTr="005F50EE">
        <w:tc>
          <w:tcPr>
            <w:tcW w:w="5104" w:type="dxa"/>
          </w:tcPr>
          <w:p w14:paraId="657FBC93" w14:textId="57FC7B04"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Cependant, nous constatons que certains dispensateurs de soins n'exécutent pas les décisions définitives et ne paient donc pas leurs amendes administratives, ou que l'amende ne les incite pas à modifier leur comportement en matière de tarification. </w:t>
            </w:r>
          </w:p>
        </w:tc>
        <w:tc>
          <w:tcPr>
            <w:tcW w:w="5104" w:type="dxa"/>
          </w:tcPr>
          <w:p w14:paraId="70724D28" w14:textId="7FD37DE6"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We stellen echter vast dat sommige zorgverleners de definitieve beslissingen niet uitvoeren en dus hun administratieve geldboetes niet betalen, of dat de geldboete hen er niet toe aanzet hun aanrekengedrag aan te passen. </w:t>
            </w:r>
          </w:p>
          <w:p w14:paraId="6C06FE1A"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r>
      <w:tr w:rsidR="00290AE4" w:rsidRPr="00A827F1" w14:paraId="7F1840FF" w14:textId="77777777" w:rsidTr="005F50EE">
        <w:tc>
          <w:tcPr>
            <w:tcW w:w="5104" w:type="dxa"/>
          </w:tcPr>
          <w:p w14:paraId="0C306A23" w14:textId="77777777" w:rsidR="00290AE4" w:rsidRPr="00290AE4" w:rsidRDefault="00290AE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86468E1" w14:textId="77777777" w:rsidR="00290AE4" w:rsidRPr="00E61FB2" w:rsidRDefault="00290AE4" w:rsidP="00477C89">
            <w:pPr>
              <w:tabs>
                <w:tab w:val="left" w:pos="4468"/>
                <w:tab w:val="left" w:pos="5643"/>
                <w:tab w:val="left" w:pos="9747"/>
              </w:tabs>
              <w:spacing w:after="0" w:line="240" w:lineRule="auto"/>
              <w:jc w:val="both"/>
              <w:rPr>
                <w:rFonts w:ascii="Arial" w:hAnsi="Arial" w:cs="Arial"/>
                <w:lang w:val="nl-NL"/>
              </w:rPr>
            </w:pPr>
          </w:p>
        </w:tc>
      </w:tr>
      <w:tr w:rsidR="00290AE4" w:rsidRPr="00A827F1" w14:paraId="3DE54C4E" w14:textId="77777777" w:rsidTr="005F50EE">
        <w:tc>
          <w:tcPr>
            <w:tcW w:w="5104" w:type="dxa"/>
          </w:tcPr>
          <w:p w14:paraId="2156675E" w14:textId="2ED284CD" w:rsidR="00290AE4" w:rsidRPr="00671DC6" w:rsidRDefault="00290AE4"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Lorsqu'un dispensateur de soins facture systématiquement des prestations qui n'ont pas été effectuées, il prélève indûment systématiquement de l'argent sur le budget des soins de santé. Il en va de même pour un dispensateur de soins qui facture systématiquement un code de nomenclature qui est mieux remboursé que le code de nomenclature de la prestation qu'il a réellement effectuée. Il devrait être possible d'arrêter la facturation de ces dispensateurs de soins, au moins temporairement.</w:t>
            </w:r>
          </w:p>
        </w:tc>
        <w:tc>
          <w:tcPr>
            <w:tcW w:w="5104" w:type="dxa"/>
          </w:tcPr>
          <w:p w14:paraId="0AC836A7" w14:textId="3FE7E8D7" w:rsidR="00290AE4" w:rsidRPr="00671DC6" w:rsidRDefault="00290AE4"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Wanneer een zorgverlener bijvoorbeeld consequent prestaties aanrekent die niet uitgevoerd werden, neemt die persoon consequent ten onrechte geld af van het gezondheidszorgbudget. Hetzelfde voor een zorgverlener die systematisch een nomenclatuurcode aanrekent die beter vergoed wordt dan de nomenclatuurcode van de prestatie die hij effectief uitvoerde. Het moet mogelijk zijn om de aanrekeningen van dergelijke zorgverleners, minstens tijdelijk, te doen stoppen.</w:t>
            </w:r>
          </w:p>
        </w:tc>
      </w:tr>
      <w:tr w:rsidR="00290AE4" w:rsidRPr="00A827F1" w14:paraId="791E0B2F" w14:textId="77777777" w:rsidTr="005F50EE">
        <w:tc>
          <w:tcPr>
            <w:tcW w:w="5104" w:type="dxa"/>
          </w:tcPr>
          <w:p w14:paraId="742459D1"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19696A5"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NL"/>
              </w:rPr>
            </w:pPr>
          </w:p>
        </w:tc>
      </w:tr>
      <w:tr w:rsidR="00290AE4" w:rsidRPr="00A827F1" w14:paraId="2D379CBB" w14:textId="77777777" w:rsidTr="005F50EE">
        <w:tc>
          <w:tcPr>
            <w:tcW w:w="5104" w:type="dxa"/>
          </w:tcPr>
          <w:p w14:paraId="0FE814E3" w14:textId="7F5E094A" w:rsidR="00290AE4" w:rsidRPr="00671DC6" w:rsidRDefault="00290AE4"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Il s'agit là d’exemples de situations où une mesure alternative est plus appropriée.</w:t>
            </w:r>
          </w:p>
        </w:tc>
        <w:tc>
          <w:tcPr>
            <w:tcW w:w="5104" w:type="dxa"/>
          </w:tcPr>
          <w:p w14:paraId="55760F59" w14:textId="28366673" w:rsidR="00290AE4" w:rsidRPr="00290AE4" w:rsidRDefault="00290AE4"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Dat zijn voorbeelden van situaties waar een alternatieve maatregel meer passend is.</w:t>
            </w:r>
          </w:p>
        </w:tc>
      </w:tr>
      <w:tr w:rsidR="00477C89" w:rsidRPr="00A827F1" w14:paraId="1425A97B" w14:textId="77777777" w:rsidTr="005F50EE">
        <w:tc>
          <w:tcPr>
            <w:tcW w:w="5104" w:type="dxa"/>
          </w:tcPr>
          <w:p w14:paraId="252C708E" w14:textId="77777777" w:rsidR="00477C89" w:rsidRPr="00290AE4"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4E6C523" w14:textId="77777777" w:rsidR="00477C89" w:rsidRPr="00290AE4"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740626AA" w14:textId="77777777" w:rsidTr="005F50EE">
        <w:tc>
          <w:tcPr>
            <w:tcW w:w="5104" w:type="dxa"/>
          </w:tcPr>
          <w:p w14:paraId="46AC0381" w14:textId="66E57725" w:rsidR="00477C89" w:rsidRPr="00BF24DA"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C’est pourquoi est créée la possibilité pour les juridictions administratives de remplacer l'amende administrative par une suspension du numéro INAMI.</w:t>
            </w:r>
            <w:r>
              <w:rPr>
                <w:rFonts w:ascii="Arial" w:hAnsi="Arial" w:cs="Arial"/>
                <w:lang w:val="fr-FR"/>
              </w:rPr>
              <w:t xml:space="preserve"> Le numéro dont la base légale est également créée dans ce projet.</w:t>
            </w:r>
          </w:p>
        </w:tc>
        <w:tc>
          <w:tcPr>
            <w:tcW w:w="5104" w:type="dxa"/>
          </w:tcPr>
          <w:p w14:paraId="500F3F8F" w14:textId="6B6E59D8" w:rsidR="00477C89" w:rsidRPr="00BF24DA"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Daarom wordt de mogelijkheid gecreëerd voor de administratieve rechtscolleges om de administratieve geldboete te vervangen door een opschorting van het RIZIV-nummer.</w:t>
            </w:r>
            <w:r w:rsidRPr="00BF24DA">
              <w:rPr>
                <w:lang w:val="nl-NL"/>
              </w:rPr>
              <w:t xml:space="preserve"> </w:t>
            </w:r>
            <w:r w:rsidRPr="00BF24DA">
              <w:rPr>
                <w:rFonts w:ascii="Arial" w:hAnsi="Arial" w:cs="Arial"/>
                <w:lang w:val="nl-NL"/>
              </w:rPr>
              <w:t>Het nummer waarvoor de wettelijke basis ook gecreëerd wordt in dit ontwerp.</w:t>
            </w:r>
          </w:p>
        </w:tc>
      </w:tr>
      <w:tr w:rsidR="00477C89" w:rsidRPr="00A827F1" w14:paraId="66BE173A" w14:textId="77777777" w:rsidTr="005F50EE">
        <w:tc>
          <w:tcPr>
            <w:tcW w:w="5104" w:type="dxa"/>
          </w:tcPr>
          <w:p w14:paraId="520F7D82" w14:textId="77777777" w:rsidR="00477C89" w:rsidRPr="00BF24DA"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74ED7EB" w14:textId="77777777" w:rsidR="00477C89" w:rsidRPr="00BF24DA"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1FD18042" w14:textId="77777777" w:rsidTr="005F50EE">
        <w:tc>
          <w:tcPr>
            <w:tcW w:w="5104" w:type="dxa"/>
          </w:tcPr>
          <w:p w14:paraId="73A98DF8" w14:textId="578A19AD" w:rsidR="00477C89" w:rsidRPr="00BF24DA" w:rsidRDefault="00477C89" w:rsidP="00477C89">
            <w:pPr>
              <w:tabs>
                <w:tab w:val="left" w:pos="4468"/>
                <w:tab w:val="left" w:pos="5643"/>
                <w:tab w:val="left" w:pos="9747"/>
              </w:tabs>
              <w:spacing w:after="0" w:line="240" w:lineRule="auto"/>
              <w:jc w:val="both"/>
              <w:rPr>
                <w:rFonts w:ascii="Arial" w:hAnsi="Arial" w:cs="Arial"/>
                <w:lang w:val="fr-FR"/>
              </w:rPr>
            </w:pPr>
            <w:r w:rsidRPr="00BF24DA">
              <w:rPr>
                <w:rFonts w:ascii="Arial" w:hAnsi="Arial" w:cs="Arial"/>
                <w:lang w:val="fr-FR"/>
              </w:rPr>
              <w:t xml:space="preserve">Cette mesure ne pourra être imposée que par les juridictions administratives pour les affaires </w:t>
            </w:r>
            <w:r>
              <w:rPr>
                <w:rFonts w:ascii="Arial" w:hAnsi="Arial" w:cs="Arial"/>
                <w:lang w:val="fr-FR"/>
              </w:rPr>
              <w:t>relevant « </w:t>
            </w:r>
            <w:r w:rsidRPr="00BF24DA">
              <w:rPr>
                <w:rFonts w:ascii="Arial" w:hAnsi="Arial" w:cs="Arial"/>
                <w:lang w:val="fr-FR"/>
              </w:rPr>
              <w:t xml:space="preserve"> en première instance</w:t>
            </w:r>
            <w:r>
              <w:rPr>
                <w:rFonts w:ascii="Arial" w:hAnsi="Arial" w:cs="Arial"/>
                <w:lang w:val="fr-FR"/>
              </w:rPr>
              <w:t> »</w:t>
            </w:r>
            <w:r w:rsidRPr="00BF24DA">
              <w:rPr>
                <w:rFonts w:ascii="Arial" w:hAnsi="Arial" w:cs="Arial"/>
                <w:lang w:val="fr-FR"/>
              </w:rPr>
              <w:t xml:space="preserve"> </w:t>
            </w:r>
            <w:r>
              <w:rPr>
                <w:rFonts w:ascii="Arial" w:hAnsi="Arial" w:cs="Arial"/>
                <w:lang w:val="fr-FR"/>
              </w:rPr>
              <w:t>de la compétence des</w:t>
            </w:r>
            <w:r w:rsidRPr="00BF24DA">
              <w:rPr>
                <w:rFonts w:ascii="Arial" w:hAnsi="Arial" w:cs="Arial"/>
                <w:lang w:val="fr-FR"/>
              </w:rPr>
              <w:t xml:space="preserve"> Chambres de première instance. Ainsi, la possibilité d'imposer la mesure alternative est limitée aux infractions prévues à l'article 73bis, 1° à 4° de la loi SSI lorsque la valeur des prestations litigieuses est supérieure à 35.000 euros. Il s'agit donc de dossiers qui ne relèvent pas </w:t>
            </w:r>
            <w:r>
              <w:rPr>
                <w:rFonts w:ascii="Arial" w:hAnsi="Arial" w:cs="Arial"/>
                <w:lang w:val="fr-FR"/>
              </w:rPr>
              <w:t xml:space="preserve">« en première instance » </w:t>
            </w:r>
            <w:r w:rsidRPr="00BF24DA">
              <w:rPr>
                <w:rFonts w:ascii="Arial" w:hAnsi="Arial" w:cs="Arial"/>
                <w:lang w:val="fr-FR"/>
              </w:rPr>
              <w:t>de la compétence du Fonctionnaire dirigeant telle que définie à l'article 143, §1.</w:t>
            </w:r>
          </w:p>
        </w:tc>
        <w:tc>
          <w:tcPr>
            <w:tcW w:w="5104" w:type="dxa"/>
          </w:tcPr>
          <w:p w14:paraId="4AB86A44" w14:textId="6807E2BA" w:rsidR="00477C89" w:rsidRPr="00BF24DA" w:rsidRDefault="00477C89" w:rsidP="00477C89">
            <w:pPr>
              <w:tabs>
                <w:tab w:val="left" w:pos="4468"/>
                <w:tab w:val="left" w:pos="5643"/>
                <w:tab w:val="left" w:pos="9747"/>
              </w:tabs>
              <w:spacing w:after="0" w:line="240" w:lineRule="auto"/>
              <w:jc w:val="both"/>
              <w:rPr>
                <w:rFonts w:ascii="Arial" w:hAnsi="Arial" w:cs="Arial"/>
                <w:lang w:val="nl-NL"/>
              </w:rPr>
            </w:pPr>
            <w:r w:rsidRPr="00BF24DA">
              <w:rPr>
                <w:rFonts w:ascii="Arial" w:hAnsi="Arial" w:cs="Arial"/>
                <w:lang w:val="nl-NL"/>
              </w:rPr>
              <w:t xml:space="preserve">Die maatregel zal enkel opgelegd kunnen worden door de administratieve rechtscolleges voor dossiers die in eerste aanleg </w:t>
            </w:r>
            <w:r>
              <w:rPr>
                <w:rFonts w:ascii="Arial" w:hAnsi="Arial" w:cs="Arial"/>
                <w:lang w:val="nl-NL"/>
              </w:rPr>
              <w:t>behoren tot de bevoegdheid van</w:t>
            </w:r>
            <w:r w:rsidRPr="00BF24DA">
              <w:rPr>
                <w:rFonts w:ascii="Arial" w:hAnsi="Arial" w:cs="Arial"/>
                <w:lang w:val="nl-NL"/>
              </w:rPr>
              <w:t xml:space="preserve"> de Kamers van eerste aanleg. Op die manier wordt de mogelijkheid om de alternatieve maatregel op te leggen beperkt tot de inbreuken voorzien in artikel 73bis, 1° tot en met 4° van de GVU-wet wanneer de waarde van de betwiste verstrekkingen hoger is dan 35.000 euro. Het gaat dus over dossiers die </w:t>
            </w:r>
            <w:r>
              <w:rPr>
                <w:rFonts w:ascii="Arial" w:hAnsi="Arial" w:cs="Arial"/>
                <w:lang w:val="nl-NL"/>
              </w:rPr>
              <w:t xml:space="preserve">“in eerste aanleg” </w:t>
            </w:r>
            <w:r w:rsidRPr="00BF24DA">
              <w:rPr>
                <w:rFonts w:ascii="Arial" w:hAnsi="Arial" w:cs="Arial"/>
                <w:lang w:val="nl-NL"/>
              </w:rPr>
              <w:t>niet behoren tot de bevoegdheid van de Leidend ambtenaar zoals omschreven in artikel 143, § 1.</w:t>
            </w:r>
          </w:p>
        </w:tc>
      </w:tr>
      <w:tr w:rsidR="00290AE4" w:rsidRPr="00A827F1" w14:paraId="01C15281" w14:textId="77777777" w:rsidTr="005F50EE">
        <w:tc>
          <w:tcPr>
            <w:tcW w:w="5104" w:type="dxa"/>
          </w:tcPr>
          <w:p w14:paraId="7F2E0F04" w14:textId="77777777" w:rsidR="00290AE4" w:rsidRPr="00BF24DA" w:rsidRDefault="00290AE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5031174" w14:textId="77777777" w:rsidR="00290AE4" w:rsidRPr="00BF24DA" w:rsidRDefault="00290AE4" w:rsidP="00477C89">
            <w:pPr>
              <w:tabs>
                <w:tab w:val="left" w:pos="4468"/>
                <w:tab w:val="left" w:pos="5643"/>
                <w:tab w:val="left" w:pos="9747"/>
              </w:tabs>
              <w:spacing w:after="0" w:line="240" w:lineRule="auto"/>
              <w:jc w:val="both"/>
              <w:rPr>
                <w:rFonts w:ascii="Arial" w:hAnsi="Arial" w:cs="Arial"/>
                <w:lang w:val="nl-NL"/>
              </w:rPr>
            </w:pPr>
          </w:p>
        </w:tc>
      </w:tr>
      <w:tr w:rsidR="00290AE4" w:rsidRPr="00A827F1" w14:paraId="1DD92161" w14:textId="77777777" w:rsidTr="005F50EE">
        <w:tc>
          <w:tcPr>
            <w:tcW w:w="5104" w:type="dxa"/>
          </w:tcPr>
          <w:p w14:paraId="1F80525F" w14:textId="695846F3" w:rsidR="00290AE4" w:rsidRPr="00671DC6" w:rsidRDefault="00290AE4" w:rsidP="00290AE4">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La notion de ‘valeur des prestations litigieuses’ est déjà utilisée dans la loi pour délimiter les infractions relevant de la compétence du Fonctionnaire-dirigeant et celles relevant des Chambres de 1ère instance. Dans l’exposé des motifs de la loi du 19 mars 2013 portant dispositions diverses en matière de santé (I), il a été clairement précisé que « </w:t>
            </w:r>
            <w:r w:rsidRPr="00671DC6">
              <w:rPr>
                <w:rFonts w:ascii="Arial" w:hAnsi="Arial" w:cs="Arial"/>
                <w:i/>
                <w:iCs/>
                <w:lang w:val="fr-FR"/>
              </w:rPr>
              <w:t>la “valeur des prestations litigieuses” s’entend du montant dû après déduction de tout remboursement effectué entre la notification du procès-verbal de constat d’infraction et la saisine du Fonctionnaire dirigeant ou d’une Chambre de première instance.</w:t>
            </w:r>
            <w:r w:rsidRPr="00671DC6">
              <w:rPr>
                <w:rFonts w:ascii="Arial" w:hAnsi="Arial" w:cs="Arial"/>
                <w:lang w:val="fr-FR"/>
              </w:rPr>
              <w:t xml:space="preserve"> » (Doc 53 2600/001, p. 14).</w:t>
            </w:r>
          </w:p>
        </w:tc>
        <w:tc>
          <w:tcPr>
            <w:tcW w:w="5104" w:type="dxa"/>
          </w:tcPr>
          <w:p w14:paraId="18E4D557" w14:textId="609C01E7" w:rsidR="00290AE4" w:rsidRPr="00671DC6" w:rsidRDefault="00290AE4"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De term ‘waarde van de betwiste verstrekkingen’ wordt momenteel al in de wet gebruikt om de inbreuken af te bakenen die tot de bevoegdheid van de Leidend ambtenaar en de Kamer van eerste aanleg behoren. In de Memorie van Toelichting bij de wet van 19 maart 2013 houdende diverse bepalingen inzake gezondheid (I) wordt uitdrukkelijk bepaald dat onder “waarde van de betwiste verstrekkingen”: “</w:t>
            </w:r>
            <w:r w:rsidRPr="00671DC6">
              <w:rPr>
                <w:rFonts w:ascii="Arial" w:hAnsi="Arial" w:cs="Arial"/>
                <w:i/>
                <w:iCs/>
                <w:lang w:val="nl-NL"/>
              </w:rPr>
              <w:t>het verschuldigde bedrag begrepen (moet) worden dat overblijft na aanrekening van elke terugbetaling uitgevoerd tussen de kennisgeving van het proces-verbaal van vaststelling en het aanhangig maken van de zaak bij de Leidend ambtenaar of de Kamer van eerste aanleg</w:t>
            </w:r>
            <w:r w:rsidRPr="00671DC6">
              <w:rPr>
                <w:rFonts w:ascii="Arial" w:hAnsi="Arial" w:cs="Arial"/>
                <w:lang w:val="nl-NL"/>
              </w:rPr>
              <w:t>” (Doc 53 2600/001, p. 14).</w:t>
            </w:r>
          </w:p>
        </w:tc>
      </w:tr>
      <w:tr w:rsidR="00290AE4" w:rsidRPr="00A827F1" w14:paraId="635802EE" w14:textId="77777777" w:rsidTr="005F50EE">
        <w:tc>
          <w:tcPr>
            <w:tcW w:w="5104" w:type="dxa"/>
          </w:tcPr>
          <w:p w14:paraId="2DE2579D"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F47DF8D"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NL"/>
              </w:rPr>
            </w:pPr>
          </w:p>
        </w:tc>
      </w:tr>
      <w:tr w:rsidR="00290AE4" w:rsidRPr="00A827F1" w14:paraId="409137F3" w14:textId="77777777" w:rsidTr="005F50EE">
        <w:tc>
          <w:tcPr>
            <w:tcW w:w="5104" w:type="dxa"/>
          </w:tcPr>
          <w:p w14:paraId="2C250C84" w14:textId="2A5446FD" w:rsidR="00290AE4" w:rsidRPr="00671DC6" w:rsidRDefault="00290AE4"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La valeur des prestations litigeuses » ne sera pas appréciée autrement ici.</w:t>
            </w:r>
          </w:p>
        </w:tc>
        <w:tc>
          <w:tcPr>
            <w:tcW w:w="5104" w:type="dxa"/>
          </w:tcPr>
          <w:p w14:paraId="245DE119" w14:textId="46A03769" w:rsidR="00290AE4" w:rsidRPr="00290AE4" w:rsidRDefault="00290AE4"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De ‘waarde van de betwiste verstrekkingen’ zal hier niet anders beoordeeld worden.</w:t>
            </w:r>
          </w:p>
        </w:tc>
      </w:tr>
      <w:tr w:rsidR="00477C89" w:rsidRPr="00A827F1" w14:paraId="04C1F820" w14:textId="77777777" w:rsidTr="005F50EE">
        <w:tc>
          <w:tcPr>
            <w:tcW w:w="5104" w:type="dxa"/>
          </w:tcPr>
          <w:p w14:paraId="406D5157" w14:textId="77777777" w:rsidR="00477C89" w:rsidRPr="00290AE4"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CD64FD8" w14:textId="77777777" w:rsidR="00477C89" w:rsidRPr="00290AE4"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36D192D1" w14:textId="77777777" w:rsidTr="005F50EE">
        <w:tc>
          <w:tcPr>
            <w:tcW w:w="5104" w:type="dxa"/>
          </w:tcPr>
          <w:p w14:paraId="042888D3" w14:textId="20901287" w:rsidR="00477C89" w:rsidRPr="00BF24DA" w:rsidRDefault="00477C89" w:rsidP="00477C89">
            <w:pPr>
              <w:tabs>
                <w:tab w:val="left" w:pos="4468"/>
                <w:tab w:val="left" w:pos="5643"/>
                <w:tab w:val="left" w:pos="9747"/>
              </w:tabs>
              <w:spacing w:after="0" w:line="240" w:lineRule="auto"/>
              <w:jc w:val="both"/>
              <w:rPr>
                <w:rFonts w:ascii="Arial" w:hAnsi="Arial" w:cs="Arial"/>
                <w:lang w:val="fr-FR"/>
              </w:rPr>
            </w:pPr>
            <w:r w:rsidRPr="00BF24DA">
              <w:rPr>
                <w:rFonts w:ascii="Arial" w:hAnsi="Arial" w:cs="Arial"/>
                <w:lang w:val="fr-FR"/>
              </w:rPr>
              <w:t>Les juridictions administratives sont présidées par un président, juge en exercice ou émérite, et sont en outre composées à parts égales de deux membres présentés par les organismes assureurs et de deux membres présentés par la catégorie professionnelle concernée. Cette composition leur permet d'apprécier la gravité des faits et de peser la mesure la plus appropriée aux faits constatés.</w:t>
            </w:r>
          </w:p>
        </w:tc>
        <w:tc>
          <w:tcPr>
            <w:tcW w:w="5104" w:type="dxa"/>
          </w:tcPr>
          <w:p w14:paraId="2215BBC7" w14:textId="16112FFB" w:rsidR="00477C89" w:rsidRPr="00D13F7B" w:rsidRDefault="00477C89" w:rsidP="00477C89">
            <w:pPr>
              <w:tabs>
                <w:tab w:val="left" w:pos="4468"/>
                <w:tab w:val="left" w:pos="5643"/>
                <w:tab w:val="left" w:pos="9747"/>
              </w:tabs>
              <w:spacing w:after="0" w:line="240" w:lineRule="auto"/>
              <w:jc w:val="both"/>
              <w:rPr>
                <w:rFonts w:ascii="Arial" w:hAnsi="Arial" w:cs="Arial"/>
                <w:lang w:val="nl-NL"/>
              </w:rPr>
            </w:pPr>
            <w:r w:rsidRPr="00BF24DA">
              <w:rPr>
                <w:rFonts w:ascii="Arial" w:hAnsi="Arial" w:cs="Arial"/>
                <w:lang w:val="nl-NL"/>
              </w:rPr>
              <w:t xml:space="preserve">De administratieve rechtscolleges worden voorgezeten door een voorzitter, rechter in functie of emeritus en zijn verder paritair samengesteld door twee leden voorgedragen door de verzekeringsinstellingen en twee leden voorgedragen door de betrokken beroepsgroep. Die samenstelling laat toe de ernst van de feiten te beoordelen en de afweging te maken welke </w:t>
            </w:r>
            <w:r w:rsidRPr="00BF24DA">
              <w:rPr>
                <w:rFonts w:ascii="Arial" w:hAnsi="Arial" w:cs="Arial"/>
                <w:lang w:val="nl-NL"/>
              </w:rPr>
              <w:lastRenderedPageBreak/>
              <w:t>maatregel het meest passend is voor de vastgestelde feiten.</w:t>
            </w:r>
          </w:p>
        </w:tc>
      </w:tr>
      <w:tr w:rsidR="00477C89" w:rsidRPr="00A827F1" w14:paraId="36DF1F97" w14:textId="77777777" w:rsidTr="005F50EE">
        <w:tc>
          <w:tcPr>
            <w:tcW w:w="5104" w:type="dxa"/>
          </w:tcPr>
          <w:p w14:paraId="6AD80443" w14:textId="77777777" w:rsidR="00477C89" w:rsidRPr="00D13F7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C287360" w14:textId="77777777" w:rsidR="00477C89" w:rsidRPr="00D13F7B"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A827F1" w14:paraId="464A3D92" w14:textId="77777777" w:rsidTr="005F50EE">
        <w:tc>
          <w:tcPr>
            <w:tcW w:w="5104" w:type="dxa"/>
          </w:tcPr>
          <w:p w14:paraId="28CBA51F" w14:textId="424E14E8"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Pr>
                <w:rFonts w:ascii="Arial" w:hAnsi="Arial" w:cs="Arial"/>
                <w:lang w:val="fr-FR"/>
              </w:rPr>
              <w:t>La</w:t>
            </w:r>
            <w:r w:rsidRPr="00E61FB2">
              <w:rPr>
                <w:rFonts w:ascii="Arial" w:hAnsi="Arial" w:cs="Arial"/>
                <w:lang w:val="fr-FR"/>
              </w:rPr>
              <w:t xml:space="preserve"> mesure alternative permet d'avoir un effet concret plus rapidement que ne le permet l'amende administrative. En effet, un dispensateur de soins a besoin d'un numéro INAMI pour pouvoir porter en compte les soins à l'assurance soins de santé et pour pouvoir attester à l’assuré. Cette mesure peut être imposée pour une certaine durée, allant d'un minimum d'un mois à un maximum de deux ans. Le maximum a été fixé à deux ans, par analogie avec la suspension maximale possible d'un médecin par les instances déontologiques compétentes.</w:t>
            </w:r>
          </w:p>
          <w:p w14:paraId="278A51C2"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006F3B80" w14:textId="4884E2F2"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Pr>
                <w:rFonts w:ascii="Arial" w:hAnsi="Arial" w:cs="Arial"/>
                <w:lang w:val="nl-NL"/>
              </w:rPr>
              <w:t>De</w:t>
            </w:r>
            <w:r w:rsidRPr="00E61FB2">
              <w:rPr>
                <w:rFonts w:ascii="Arial" w:hAnsi="Arial" w:cs="Arial"/>
                <w:lang w:val="nl-NL"/>
              </w:rPr>
              <w:t xml:space="preserve"> alternatieve maatregel laat toe om sneller een concreet effect te hebben dan dat de administratieve geldboete toelaat. Een zorgverlener heeft namelijk een RIZIV-nummer nodig om aan te kunnen rekenen aan de verzekering voor geneeskundige verzorging en te attesteren aan de verzekerde binnen het kader van de verzekering voor geneeskundige verzorging. Die maatregel kan opgelegd worden voor een bepaalde duur van minimum één maand tot maximum twee jaar. Het maximum werd voorzien op twee jaar, naar analogie met de mogelijke maximale schorsing van een arts door de bevoegde deontologische organen. </w:t>
            </w:r>
          </w:p>
        </w:tc>
      </w:tr>
      <w:tr w:rsidR="00290AE4" w:rsidRPr="00A827F1" w14:paraId="7077911E" w14:textId="77777777" w:rsidTr="005F50EE">
        <w:tc>
          <w:tcPr>
            <w:tcW w:w="5104" w:type="dxa"/>
          </w:tcPr>
          <w:p w14:paraId="146BBFF6" w14:textId="77777777" w:rsidR="00290AE4" w:rsidRPr="00C51760" w:rsidRDefault="00290AE4"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4B009E0" w14:textId="77777777" w:rsidR="00290AE4" w:rsidRPr="00E61FB2" w:rsidRDefault="00290AE4" w:rsidP="00477C89">
            <w:pPr>
              <w:tabs>
                <w:tab w:val="left" w:pos="4468"/>
                <w:tab w:val="left" w:pos="5643"/>
                <w:tab w:val="left" w:pos="9747"/>
              </w:tabs>
              <w:spacing w:after="0" w:line="240" w:lineRule="auto"/>
              <w:jc w:val="both"/>
              <w:rPr>
                <w:rFonts w:ascii="Arial" w:hAnsi="Arial" w:cs="Arial"/>
                <w:lang w:val="nl-NL"/>
              </w:rPr>
            </w:pPr>
          </w:p>
        </w:tc>
      </w:tr>
      <w:tr w:rsidR="00290AE4" w:rsidRPr="00A827F1" w14:paraId="7CBFDDB4" w14:textId="77777777" w:rsidTr="005F50EE">
        <w:tc>
          <w:tcPr>
            <w:tcW w:w="5104" w:type="dxa"/>
          </w:tcPr>
          <w:p w14:paraId="36428E6E" w14:textId="662F6E5D" w:rsidR="00290AE4" w:rsidRPr="00671DC6" w:rsidRDefault="00290AE4" w:rsidP="00290AE4">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Le fait qu'une « fourchette » entre un minimum et un maximum  soit prévue pour les juridictions administratives, dans laquelle elles peuvent statuer, n'entraîne pas d'insécurité juridique, mais permet simplement aux juridictions administratives d'imposer la mesure la plus appropriée au cas par cas en fonction des éléments du dossier. Cette « fourchette » est juste en faveur du dispensateur de soins. Comme dans les procédures disciplinaires, il peut également y avoir des différences dans les procédures administratives qui justifient une mesure plus stricte dans un cas que dans l'autre. De même qu'il n'est pas possible de dresser une liste exhaustive des cas dans lesquels une mesure sera imposée dans le cadre d'une procédure disciplinaire, il n'est pas non plus possible de dresser une telle liste exhaustive pour les procédures administratives. En outre, cela porterait atteinte à la compétence des juridictions administratives qui statuent avec un pouvoir de  pleine juridiction conformément à l'article 144, § 2 et § 3.</w:t>
            </w:r>
          </w:p>
        </w:tc>
        <w:tc>
          <w:tcPr>
            <w:tcW w:w="5104" w:type="dxa"/>
          </w:tcPr>
          <w:p w14:paraId="651CEA75" w14:textId="77777777" w:rsidR="00290AE4" w:rsidRPr="00671DC6" w:rsidRDefault="00290AE4" w:rsidP="00290AE4">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Het feit dat er een ‘vork’ voorzien wordt tussen een minimum en een maximum voor de administratieve rechtscolleges waarbinnen zij kunnen oordelen, leidt niet tot rechtsonzekerheid maar laat de administratieve rechtscolleges net toe om per geval de meest gepaste maatregel op te leggen rekening houdende met de elementen van het dossier. Die ‘vork’ is net in het voordeel van de zorgverlener. Net zoals in de tuchtrechtelijke procedures, kunnen er ook in de administratieve procedures verschillen zijn die in het ene geval een strengere maatregel rechtvaardigen dan in het andere geval. Net zoals het niet mogelijk is om in tuchtrechtelijke procedures een exhaustieve opsomming te geven wanneer welke maatregel opgelegd zal worden, is het evenmin mogelijk dergelijk exhaustief overzicht te geven voor de administratieve procedures. Dat zou bovendien afbreuk doen aan de bevoegdheid van de administratieve rechtscolleges die overeenkomstig artikel 144, § 2 en § 3 oordelen met volle rechtsmacht.</w:t>
            </w:r>
          </w:p>
          <w:p w14:paraId="325EDFE3"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BE"/>
              </w:rPr>
            </w:pPr>
          </w:p>
        </w:tc>
      </w:tr>
      <w:tr w:rsidR="00290AE4" w:rsidRPr="00A827F1" w14:paraId="7D5F9ADF" w14:textId="77777777" w:rsidTr="005F50EE">
        <w:tc>
          <w:tcPr>
            <w:tcW w:w="5104" w:type="dxa"/>
          </w:tcPr>
          <w:p w14:paraId="17E34106"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BE"/>
              </w:rPr>
            </w:pPr>
          </w:p>
        </w:tc>
        <w:tc>
          <w:tcPr>
            <w:tcW w:w="5104" w:type="dxa"/>
          </w:tcPr>
          <w:p w14:paraId="0442450C" w14:textId="77777777" w:rsidR="00290AE4" w:rsidRPr="00671DC6" w:rsidRDefault="00290AE4" w:rsidP="00477C89">
            <w:pPr>
              <w:tabs>
                <w:tab w:val="left" w:pos="4468"/>
                <w:tab w:val="left" w:pos="5643"/>
                <w:tab w:val="left" w:pos="9747"/>
              </w:tabs>
              <w:spacing w:after="0" w:line="240" w:lineRule="auto"/>
              <w:jc w:val="both"/>
              <w:rPr>
                <w:rFonts w:ascii="Arial" w:hAnsi="Arial" w:cs="Arial"/>
                <w:lang w:val="nl-BE"/>
              </w:rPr>
            </w:pPr>
          </w:p>
        </w:tc>
      </w:tr>
      <w:tr w:rsidR="00290AE4" w:rsidRPr="00A827F1" w14:paraId="7C614776" w14:textId="77777777" w:rsidTr="005F50EE">
        <w:tc>
          <w:tcPr>
            <w:tcW w:w="5104" w:type="dxa"/>
          </w:tcPr>
          <w:p w14:paraId="00B25D2F" w14:textId="3B3D583F" w:rsidR="00290AE4" w:rsidRPr="00671DC6" w:rsidRDefault="00290AE4"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 xml:space="preserve">Cette mesure est prévue comme une alternative à l'amende administrative et pourra donc être imposée par les juridictions administratives dans le cadre d’une procédure administrative contradictoire. Il n’est pas prévu ici une procédure spécifique distincte. Comme toujours, le SECM entamera la procédure devant la Chambre de première instance en lui adressant une requête (article 3 de l’arrêté royal du 9 mai 2008 fixant les règles de fonctionnement et le Règlement de </w:t>
            </w:r>
            <w:r w:rsidRPr="00671DC6">
              <w:rPr>
                <w:rFonts w:ascii="Arial" w:hAnsi="Arial" w:cs="Arial"/>
                <w:lang w:val="fr-FR"/>
              </w:rPr>
              <w:lastRenderedPageBreak/>
              <w:t>procédure des Chambres de première instance et des Chambres de recours instituées auprès du Service d'évaluation et de contrôle médicaux de l'INAMI, le règlement de procédure). Le dispensateur de soins pourra se défendre par écrit en déposant des conclusions au greffe de la chambre de première instance, comme le prévoient les articles 15 à 17 du règlement de procédure. Le dispensateur de soins peut également, comme toujours, se faire assister au cours de la procédure par une personne de son choix (article 145, § 4). Conformément à l'article 18 du règlement de procédure, les parties sont convoquées devant la chambre de première instance lorsque l'affaire est en état d'être plaidée. Au cours de l'audience, le dispensateur de soins a également la possibilité de présenter son point de vue. C'est ensuite la chambre composée de manière paritaire, présidée par un président, juge en exercice ou émérite, qui rendra sa décision.</w:t>
            </w:r>
          </w:p>
        </w:tc>
        <w:tc>
          <w:tcPr>
            <w:tcW w:w="5104" w:type="dxa"/>
          </w:tcPr>
          <w:p w14:paraId="55AD8201" w14:textId="6CC18C3D" w:rsidR="00290AE4" w:rsidRPr="00671DC6" w:rsidRDefault="00290AE4" w:rsidP="00290AE4">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lastRenderedPageBreak/>
              <w:t xml:space="preserve">Deze maatregel wordt voorzien als alternatief van de administratieve geldboete en zal dus opgelegd kunnen worden door de administratieve rechtscolleges tijdens de tegensprekelijke administratieve procedure. Er wordt voor deze maatregel geen aparte administratieve procedure voorzien. Zoals steeds, zal de DGEC de procedure voor de Kamer van eerste aanleg opstarten door een verzoekschrift bij die Kamer neer te leggen (artikel 3 van het Koninklijk besluit van 9 mei 2008 </w:t>
            </w:r>
            <w:r w:rsidRPr="00671DC6">
              <w:rPr>
                <w:rFonts w:ascii="Arial" w:hAnsi="Arial" w:cs="Arial"/>
                <w:lang w:val="nl-NL"/>
              </w:rPr>
              <w:lastRenderedPageBreak/>
              <w:t xml:space="preserve">tot bepaling van de werkingsregels en het Procedurereglement van de Kamers van eerste aanleg en van de Kamers van beroep bij de Dienst voor geneeskundige evaluatie en controle van het RIZIV, Procedurereglement). De zorgverlener zal zich schriftelijk kunnen verdedigen door conclusies neer te leggen bij de griffie van de Kamer van eerste aanleg zoals voorzien in artikels 15-17 van het Procedurereglement. De zorgverlener kan zich tijdens de procedure ook, zoals steeds, laten bijstaan door een persoon van zijn keuze (artikel 145, § 4). Overeenkomstig artikel 18 van het Procedurereglement, worden de partijen opgeroepen om te verschijnen voor de Kamer van eerste aanleg wanneer het dossier in staat van wijzen is. Tijdens de zitting heeft de zorgverlener ook de kans om zijn standpunt uiteen te zetten. Het is daarna de paritair samengestelde Kamer, voorgezeten door een voorzitter, rechter in functie of emeritus, die haar beslissing zal nemen. </w:t>
            </w:r>
          </w:p>
        </w:tc>
      </w:tr>
      <w:tr w:rsidR="00290AE4" w:rsidRPr="00A827F1" w14:paraId="34E90170" w14:textId="77777777" w:rsidTr="005F50EE">
        <w:tc>
          <w:tcPr>
            <w:tcW w:w="5104" w:type="dxa"/>
          </w:tcPr>
          <w:p w14:paraId="634D92BB" w14:textId="77777777" w:rsidR="00290AE4" w:rsidRPr="00290AE4" w:rsidRDefault="00290AE4" w:rsidP="00477C89">
            <w:pPr>
              <w:tabs>
                <w:tab w:val="left" w:pos="4468"/>
                <w:tab w:val="left" w:pos="5643"/>
                <w:tab w:val="left" w:pos="9747"/>
              </w:tabs>
              <w:spacing w:after="0" w:line="240" w:lineRule="auto"/>
              <w:jc w:val="both"/>
              <w:rPr>
                <w:rFonts w:ascii="Arial" w:hAnsi="Arial" w:cs="Arial"/>
                <w:highlight w:val="cyan"/>
                <w:lang w:val="nl-NL"/>
              </w:rPr>
            </w:pPr>
          </w:p>
        </w:tc>
        <w:tc>
          <w:tcPr>
            <w:tcW w:w="5104" w:type="dxa"/>
          </w:tcPr>
          <w:p w14:paraId="3202EA73" w14:textId="77777777" w:rsidR="00290AE4" w:rsidRPr="00290AE4" w:rsidRDefault="00290AE4" w:rsidP="00477C89">
            <w:pPr>
              <w:tabs>
                <w:tab w:val="left" w:pos="4468"/>
                <w:tab w:val="left" w:pos="5643"/>
                <w:tab w:val="left" w:pos="9747"/>
              </w:tabs>
              <w:spacing w:after="0" w:line="240" w:lineRule="auto"/>
              <w:jc w:val="both"/>
              <w:rPr>
                <w:rFonts w:ascii="Arial" w:hAnsi="Arial" w:cs="Arial"/>
                <w:highlight w:val="cyan"/>
                <w:lang w:val="nl-NL"/>
              </w:rPr>
            </w:pPr>
          </w:p>
        </w:tc>
      </w:tr>
      <w:tr w:rsidR="00290AE4" w:rsidRPr="00A827F1" w14:paraId="75F2A29B" w14:textId="77777777" w:rsidTr="005F50EE">
        <w:tc>
          <w:tcPr>
            <w:tcW w:w="5104" w:type="dxa"/>
          </w:tcPr>
          <w:p w14:paraId="3E4AF95D" w14:textId="2115D956" w:rsidR="00290AE4" w:rsidRPr="00671DC6" w:rsidRDefault="00290AE4" w:rsidP="00477C89">
            <w:pPr>
              <w:tabs>
                <w:tab w:val="left" w:pos="4468"/>
                <w:tab w:val="left" w:pos="5643"/>
                <w:tab w:val="left" w:pos="9747"/>
              </w:tabs>
              <w:spacing w:after="0" w:line="240" w:lineRule="auto"/>
              <w:jc w:val="both"/>
              <w:rPr>
                <w:rFonts w:ascii="Arial" w:hAnsi="Arial" w:cs="Arial"/>
                <w:lang w:val="fr-FR"/>
              </w:rPr>
            </w:pPr>
            <w:r w:rsidRPr="00671DC6">
              <w:rPr>
                <w:rFonts w:ascii="Arial" w:hAnsi="Arial" w:cs="Arial"/>
                <w:lang w:val="fr-FR"/>
              </w:rPr>
              <w:t>Comme l'indique déjà clairement l'article 142, § 1</w:t>
            </w:r>
            <w:r w:rsidRPr="00671DC6">
              <w:rPr>
                <w:rFonts w:ascii="Arial" w:hAnsi="Arial" w:cs="Arial"/>
                <w:vertAlign w:val="superscript"/>
                <w:lang w:val="fr-FR"/>
              </w:rPr>
              <w:t>er</w:t>
            </w:r>
            <w:r w:rsidRPr="00671DC6">
              <w:rPr>
                <w:rFonts w:ascii="Arial" w:hAnsi="Arial" w:cs="Arial"/>
                <w:lang w:val="fr-FR"/>
              </w:rPr>
              <w:t>, de la loi SSI, les mesures qui y sont énumérées peuvent être imposées « sans préjudice d'éventuelles sanctions pénales et/ou disciplinaires ». Cette disposition n'est pas non plus modifiée ici. Cette mesure est donc sans préjudice des mesures disciplinaires qui pourraient être imposées pour les mêmes faits. Les compétences disciplinaires et administratives coexistent actuellement et continueront à coexister.</w:t>
            </w:r>
          </w:p>
        </w:tc>
        <w:tc>
          <w:tcPr>
            <w:tcW w:w="5104" w:type="dxa"/>
          </w:tcPr>
          <w:p w14:paraId="5D4D34E2" w14:textId="583973E9" w:rsidR="00290AE4" w:rsidRPr="00290AE4" w:rsidRDefault="00290AE4" w:rsidP="00477C89">
            <w:pPr>
              <w:tabs>
                <w:tab w:val="left" w:pos="4468"/>
                <w:tab w:val="left" w:pos="5643"/>
                <w:tab w:val="left" w:pos="9747"/>
              </w:tabs>
              <w:spacing w:after="0" w:line="240" w:lineRule="auto"/>
              <w:jc w:val="both"/>
              <w:rPr>
                <w:rFonts w:ascii="Arial" w:hAnsi="Arial" w:cs="Arial"/>
                <w:lang w:val="nl-NL"/>
              </w:rPr>
            </w:pPr>
            <w:r w:rsidRPr="00671DC6">
              <w:rPr>
                <w:rFonts w:ascii="Arial" w:hAnsi="Arial" w:cs="Arial"/>
                <w:lang w:val="nl-NL"/>
              </w:rPr>
              <w:t>Zoals momenteel al duidelijk geschreven staat in artikel 142, § 1 GVU-wet kunnen de maatregelen die daar opgesomd worden, opgelegd worden ‘onverminderd eventuele strafrechtelijke- en/of tuchtrechtelijke sancties’. Ook dat wordt hier niet aangepast. Deze maatregel doet dus geen afbreuk aan eventuele tuchtrechtelijke maatregelen die voor dezelfde feiten opgelegd zouden kunnen worden. De tuchtrechtelijke en administratieve bevoegdheid bestaat momenteel naast elkaar, en zal langs elkaar blijven bestaan.</w:t>
            </w:r>
          </w:p>
        </w:tc>
      </w:tr>
      <w:tr w:rsidR="00477C89" w:rsidRPr="00A827F1" w14:paraId="6674C82D" w14:textId="77777777" w:rsidTr="005F50EE">
        <w:tc>
          <w:tcPr>
            <w:tcW w:w="5104" w:type="dxa"/>
          </w:tcPr>
          <w:p w14:paraId="2928D9FE" w14:textId="77777777" w:rsidR="00477C89" w:rsidRPr="00290AE4"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F3F9CF3" w14:textId="77777777" w:rsidR="00477C89" w:rsidRPr="00290AE4"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68480183" w14:textId="77777777" w:rsidTr="005F50EE">
        <w:tc>
          <w:tcPr>
            <w:tcW w:w="5104" w:type="dxa"/>
          </w:tcPr>
          <w:p w14:paraId="29306581"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Les organismes assureurs doivent être informés de cette mesure afin d'en assurer le suivi. </w:t>
            </w:r>
          </w:p>
          <w:p w14:paraId="40B2C2B5"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24E4601D"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De verzekeringsinstellingen moeten op de hoogte gebracht worden van deze maatregel zodat zij de opvolging er van kunnen garanderen. </w:t>
            </w:r>
          </w:p>
        </w:tc>
      </w:tr>
      <w:tr w:rsidR="00477C89" w:rsidRPr="008547A0" w14:paraId="6CFE19DA" w14:textId="77777777" w:rsidTr="005F50EE">
        <w:tc>
          <w:tcPr>
            <w:tcW w:w="5104" w:type="dxa"/>
          </w:tcPr>
          <w:p w14:paraId="2D6EFBA6"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5B8C8DA"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194E073D" w14:textId="77777777" w:rsidTr="005F50EE">
        <w:tc>
          <w:tcPr>
            <w:tcW w:w="5104" w:type="dxa"/>
          </w:tcPr>
          <w:p w14:paraId="10F2AA15" w14:textId="2D032F83"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Selon le nouvel article 73, §</w:t>
            </w:r>
            <w:r w:rsidR="00290AE4">
              <w:rPr>
                <w:rFonts w:ascii="Arial" w:hAnsi="Arial" w:cs="Arial"/>
                <w:lang w:val="fr-FR"/>
              </w:rPr>
              <w:t xml:space="preserve"> </w:t>
            </w:r>
            <w:r w:rsidRPr="00E61FB2">
              <w:rPr>
                <w:rFonts w:ascii="Arial" w:hAnsi="Arial" w:cs="Arial"/>
                <w:lang w:val="fr-FR"/>
              </w:rPr>
              <w:t>1</w:t>
            </w:r>
            <w:r w:rsidR="00290AE4" w:rsidRPr="00290AE4">
              <w:rPr>
                <w:rFonts w:ascii="Arial" w:hAnsi="Arial" w:cs="Arial"/>
                <w:vertAlign w:val="superscript"/>
                <w:lang w:val="fr-FR"/>
              </w:rPr>
              <w:t>er</w:t>
            </w:r>
            <w:r w:rsidRPr="00E61FB2">
              <w:rPr>
                <w:rFonts w:ascii="Arial" w:hAnsi="Arial" w:cs="Arial"/>
                <w:lang w:val="fr-FR"/>
              </w:rPr>
              <w:t>, dernier alinéa</w:t>
            </w:r>
            <w:r w:rsidR="00290AE4">
              <w:rPr>
                <w:rFonts w:ascii="Arial" w:hAnsi="Arial" w:cs="Arial"/>
                <w:lang w:val="fr-FR"/>
              </w:rPr>
              <w:t>,</w:t>
            </w:r>
            <w:r w:rsidRPr="00E61FB2">
              <w:rPr>
                <w:rFonts w:ascii="Arial" w:hAnsi="Arial" w:cs="Arial"/>
                <w:lang w:val="fr-FR"/>
              </w:rPr>
              <w:t xml:space="preserve"> de la loi SSI, le dispensateur de soins est tenu d'informer clairement les bénéficiaires de la suspension de son numéro INAMI et de ses conséquences pour le bénéficiaire, en plus de son statut conventionnel.</w:t>
            </w:r>
          </w:p>
        </w:tc>
        <w:tc>
          <w:tcPr>
            <w:tcW w:w="5104" w:type="dxa"/>
          </w:tcPr>
          <w:p w14:paraId="4873B0AF"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Overeenkomstig het nieuwe artikel 73, § 1, laatste lid GVU-wet, wordt de zorgverlener verplicht om naast zijn conventiestatus ook de rechthebbenden duidelijk te informeren over de opschorting van zijn RIZIV-nummer en de gevolgen daarvan voor de rechthebbende. </w:t>
            </w:r>
          </w:p>
        </w:tc>
      </w:tr>
      <w:tr w:rsidR="00477C89" w:rsidRPr="008547A0" w14:paraId="37F01703" w14:textId="77777777" w:rsidTr="005F50EE">
        <w:tc>
          <w:tcPr>
            <w:tcW w:w="5104" w:type="dxa"/>
          </w:tcPr>
          <w:p w14:paraId="61786495"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2B79586"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4A6BC579" w14:textId="77777777" w:rsidTr="005F50EE">
        <w:tc>
          <w:tcPr>
            <w:tcW w:w="5104" w:type="dxa"/>
          </w:tcPr>
          <w:p w14:paraId="10AFA60F"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De cette manière, l'équilibre entre les droits de l'assuré à l'information et le droit du prestataire de soins de santé concerné à protéger ses données est respecté.</w:t>
            </w:r>
          </w:p>
        </w:tc>
        <w:tc>
          <w:tcPr>
            <w:tcW w:w="5104" w:type="dxa"/>
          </w:tcPr>
          <w:p w14:paraId="3D824A5E"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Op die manier wordt het evenwicht tussen de rechten van de verzekerde op informatie en het recht van de betrokken zorgverlener op bescherming van zijn gegevens gerespecteerd.</w:t>
            </w:r>
          </w:p>
        </w:tc>
      </w:tr>
      <w:tr w:rsidR="00477C89" w:rsidRPr="008547A0" w14:paraId="4F14ABAE" w14:textId="77777777" w:rsidTr="005F50EE">
        <w:tc>
          <w:tcPr>
            <w:tcW w:w="5104" w:type="dxa"/>
          </w:tcPr>
          <w:p w14:paraId="23839E2E"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B5821C8"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46DBAC00" w14:textId="77777777" w:rsidTr="005F50EE">
        <w:tc>
          <w:tcPr>
            <w:tcW w:w="5104" w:type="dxa"/>
          </w:tcPr>
          <w:p w14:paraId="670B0AA0"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Le libre choix de l'assuré n'est pas affecté. </w:t>
            </w:r>
          </w:p>
          <w:p w14:paraId="2DA382DA"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74DFC028" w14:textId="6E428702"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Er wordt geen afbreuk gedaan aan de vrij</w:t>
            </w:r>
            <w:r>
              <w:rPr>
                <w:rFonts w:ascii="Arial" w:hAnsi="Arial" w:cs="Arial"/>
                <w:lang w:val="nl-NL"/>
              </w:rPr>
              <w:t>e</w:t>
            </w:r>
            <w:r w:rsidRPr="00E61FB2">
              <w:rPr>
                <w:rFonts w:ascii="Arial" w:hAnsi="Arial" w:cs="Arial"/>
                <w:lang w:val="nl-NL"/>
              </w:rPr>
              <w:t xml:space="preserve"> keuze van de verzekerde. </w:t>
            </w:r>
          </w:p>
        </w:tc>
      </w:tr>
      <w:tr w:rsidR="00477C89" w:rsidRPr="008547A0" w14:paraId="202EEC79" w14:textId="77777777" w:rsidTr="005F50EE">
        <w:tc>
          <w:tcPr>
            <w:tcW w:w="5104" w:type="dxa"/>
          </w:tcPr>
          <w:p w14:paraId="7462645F"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DB191AF"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0E566ECB" w14:textId="77777777" w:rsidTr="005F50EE">
        <w:tc>
          <w:tcPr>
            <w:tcW w:w="5104" w:type="dxa"/>
          </w:tcPr>
          <w:p w14:paraId="4332A836"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Lorsqu'un assuré contacte un dispensateur de soins, c'est à ce dernier de communiquer que son numéro INAMI a été temporairement suspendu. Ce faisant, il n'a pas à communiquer de détails, ni à rendre publique, par exemple, une copie de la décision de la juridiction administrative qui a imposé la mesure.</w:t>
            </w:r>
          </w:p>
        </w:tc>
        <w:tc>
          <w:tcPr>
            <w:tcW w:w="5104" w:type="dxa"/>
          </w:tcPr>
          <w:p w14:paraId="096BF9AF"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Wanneer een verzekerde een zorgverlener contacteert, is het aan die zorgverlener om mee te delen dat zijn RIZIV-nummer tijdelijk opgeschort is. Hij moet daarbij geen details meedelen, noch is hij bijvoorbeeld verplicht een kopie van de beslissing van het administratief rechtscollege dat de maatregel oplegde, publiek te maken. </w:t>
            </w:r>
          </w:p>
        </w:tc>
      </w:tr>
      <w:tr w:rsidR="00477C89" w:rsidRPr="008547A0" w14:paraId="37DB9053" w14:textId="77777777" w:rsidTr="005F50EE">
        <w:tc>
          <w:tcPr>
            <w:tcW w:w="5104" w:type="dxa"/>
          </w:tcPr>
          <w:p w14:paraId="24E50869"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180737F"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0B49398C" w14:textId="77777777" w:rsidTr="005F50EE">
        <w:tc>
          <w:tcPr>
            <w:tcW w:w="5104" w:type="dxa"/>
          </w:tcPr>
          <w:p w14:paraId="7D3C9B0A"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Supposons que l'assuré choisisse cependant d'être traité par ce dispensateur de soins, l'assuré fait ce choix en étant conscient des conséquences financières qui en découlent. L'assuré sait à ce moment-là que le dispensateur de soins n'est pas autorisé à facturer ou à attester dans le cadre de l'assurance soins de santé.</w:t>
            </w:r>
          </w:p>
          <w:p w14:paraId="1914C09A"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4C2D920F"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Stel dat de verzekerde er op dat moment toch voor kiest om door die zorgverlener behandeld te worden, maakt de verzekerde die keuze zich bewust van de financiële gevolgen er van. De verzekerde weet op dat moment dat de zorgverlener niet mag aanrekenen of attesteren binnen de verzekering voor geneeskundige verzorging. </w:t>
            </w:r>
          </w:p>
        </w:tc>
      </w:tr>
      <w:tr w:rsidR="00477C89" w:rsidRPr="008547A0" w14:paraId="13B3C845" w14:textId="77777777" w:rsidTr="005F50EE">
        <w:tc>
          <w:tcPr>
            <w:tcW w:w="5104" w:type="dxa"/>
          </w:tcPr>
          <w:p w14:paraId="13315926"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735BD80"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6D066682" w14:textId="77777777" w:rsidTr="005F50EE">
        <w:tc>
          <w:tcPr>
            <w:tcW w:w="5104" w:type="dxa"/>
          </w:tcPr>
          <w:p w14:paraId="7316C0B3"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Supposons que le dispensateur de soins n'ait pas informé l'assuré, qu’il l’ait soigné et qu'il établisse ensuite, par exemple, une attestation de soins donnés en utilisant son numéro INAMI, l'assuré remettra ensuite cette attestation à l'organisme assureur sans méfiance. À ce moment, si le dispensateur de soins de santé rédige l’attestation de soins donnés comme si aucune mesure ne lui avait été imposée et qu'il utilise donc son numéro INAMI malgré le fait qu’il a été suspendu, l'organisme assureur remboursera effectivement la prestation à l'assuré et la récupérera ensuite auprès du dispensateur de  soins. </w:t>
            </w:r>
          </w:p>
          <w:p w14:paraId="4AEB97BA"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4B28886C"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Stel dat de zorgverlener na zou laten de verzekerde te informeren en de verzekerde zou behandelen en nadien bijvoorbeeld een getuigschrift voor verstrekte hulp zou opstellen gebruik makend van zijn RIZIV-nummer, dan gaat de verzekerde dat getuigschrift nadien nietsvermoedend bezorgen aan de verzekeringsinstellingen. Op dat moment, wanneer de zorgverlener het GVVH opstelde alsof er hem geen maatregel opgelegd werd en hij dus toch zijn RIZIV-nummer gebruikt ondanks het feit dat het opgeschort werd, zal de verzekeringsinstelling de prestatie wel terugbetalen aan de verzekerde en later recupereren bij de zorgverlener. </w:t>
            </w:r>
          </w:p>
        </w:tc>
      </w:tr>
      <w:tr w:rsidR="00477C89" w:rsidRPr="008547A0" w14:paraId="4547FC40" w14:textId="77777777" w:rsidTr="005F50EE">
        <w:tc>
          <w:tcPr>
            <w:tcW w:w="5104" w:type="dxa"/>
          </w:tcPr>
          <w:p w14:paraId="299769D0"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0C30949"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4DA61574" w14:textId="77777777" w:rsidTr="005F50EE">
        <w:tc>
          <w:tcPr>
            <w:tcW w:w="5104" w:type="dxa"/>
          </w:tcPr>
          <w:p w14:paraId="75A50F12"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Si le dispensateur de soins facture la prestation via le système du tiers payant, l'organisme assureur bloque le paiement au dispensateur. Si l'organisme assureur paye quand même le dispensateur de soins, il peut ensuite récupérer ce montant auprès du dispensateur de soins.</w:t>
            </w:r>
          </w:p>
          <w:p w14:paraId="58400DFD"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2C6584D8"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Wanneer de zorgverlener de prestatie zou aanrekenen via de derdebetalersregeling, blokkeert de verzekeringsinstelling de uitbetaling aan de zorgverlener. Wanneer de verzekeringsinstelling toch zou uitbetalen aan de zorgverlener, kan de verzekeringsinstelling dat bedrag nadien terugvorderen van de zorgverlener. </w:t>
            </w:r>
          </w:p>
        </w:tc>
      </w:tr>
      <w:tr w:rsidR="00477C89" w:rsidRPr="008547A0" w14:paraId="783B434C" w14:textId="77777777" w:rsidTr="005F50EE">
        <w:tc>
          <w:tcPr>
            <w:tcW w:w="5104" w:type="dxa"/>
          </w:tcPr>
          <w:p w14:paraId="7791EBD0"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4108140"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3D9DFF1F" w14:textId="77777777" w:rsidTr="005F50EE">
        <w:tc>
          <w:tcPr>
            <w:tcW w:w="5104" w:type="dxa"/>
          </w:tcPr>
          <w:p w14:paraId="1491ACA7"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Un assuré ne doit pas être victime d'un dispensateur de soins qui ne respecte pas la mesure qui lui a été imposée et son obligation d'information.</w:t>
            </w:r>
          </w:p>
        </w:tc>
        <w:tc>
          <w:tcPr>
            <w:tcW w:w="5104" w:type="dxa"/>
          </w:tcPr>
          <w:p w14:paraId="339947D4"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Een verzekerde mag geen slachtoffer zijn van een zorgverlener die nalaat de hem opgelegde maatregel en zijn informatieplicht te respecteren. </w:t>
            </w:r>
          </w:p>
          <w:p w14:paraId="1A655C98"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8547A0" w14:paraId="1661EF42" w14:textId="77777777" w:rsidTr="005F50EE">
        <w:tc>
          <w:tcPr>
            <w:tcW w:w="5104" w:type="dxa"/>
          </w:tcPr>
          <w:p w14:paraId="7151222C"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098F0FD" w14:textId="77777777" w:rsidR="00477C89" w:rsidRPr="00E61FB2" w:rsidRDefault="00477C89" w:rsidP="00477C89">
            <w:pPr>
              <w:tabs>
                <w:tab w:val="left" w:pos="2925"/>
              </w:tabs>
              <w:spacing w:after="0" w:line="240" w:lineRule="auto"/>
              <w:jc w:val="both"/>
              <w:rPr>
                <w:rFonts w:ascii="Arial" w:hAnsi="Arial" w:cs="Arial"/>
                <w:lang w:val="nl-NL"/>
              </w:rPr>
            </w:pPr>
          </w:p>
        </w:tc>
      </w:tr>
      <w:tr w:rsidR="00477C89" w:rsidRPr="00EE6F91" w14:paraId="39E8D8CA" w14:textId="77777777" w:rsidTr="005F50EE">
        <w:tc>
          <w:tcPr>
            <w:tcW w:w="5104" w:type="dxa"/>
          </w:tcPr>
          <w:p w14:paraId="3F736EBF" w14:textId="1191F475"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+53</w:t>
            </w:r>
          </w:p>
        </w:tc>
        <w:tc>
          <w:tcPr>
            <w:tcW w:w="5104" w:type="dxa"/>
          </w:tcPr>
          <w:p w14:paraId="4A6C5AEB" w14:textId="51E8F3BC"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+53</w:t>
            </w:r>
          </w:p>
        </w:tc>
      </w:tr>
      <w:tr w:rsidR="00477C89" w:rsidRPr="009812E7" w14:paraId="7397760C" w14:textId="77777777" w:rsidTr="005F50EE">
        <w:tc>
          <w:tcPr>
            <w:tcW w:w="5104" w:type="dxa"/>
          </w:tcPr>
          <w:p w14:paraId="34D19B0B" w14:textId="77777777" w:rsidR="00477C89" w:rsidRPr="00DF79CA"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835D0C8"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5C9304DF" w14:textId="77777777" w:rsidTr="005F50EE">
        <w:tc>
          <w:tcPr>
            <w:tcW w:w="5104" w:type="dxa"/>
          </w:tcPr>
          <w:p w14:paraId="1498B20F" w14:textId="77777777" w:rsidR="00477C89" w:rsidRPr="00E257C8" w:rsidRDefault="00477C89" w:rsidP="00477C89">
            <w:pPr>
              <w:tabs>
                <w:tab w:val="left" w:pos="4468"/>
                <w:tab w:val="left" w:pos="5643"/>
                <w:tab w:val="left" w:pos="9747"/>
              </w:tabs>
              <w:spacing w:after="0" w:line="240" w:lineRule="auto"/>
              <w:jc w:val="both"/>
              <w:rPr>
                <w:rFonts w:ascii="Arial" w:hAnsi="Arial" w:cs="Arial"/>
                <w:lang w:val="fr-FR"/>
              </w:rPr>
            </w:pPr>
            <w:r w:rsidRPr="00E257C8">
              <w:rPr>
                <w:rFonts w:ascii="Arial" w:hAnsi="Arial" w:cs="Arial"/>
                <w:lang w:val="fr-FR"/>
              </w:rPr>
              <w:t>Conformément à l'article 218, §</w:t>
            </w:r>
            <w:r>
              <w:rPr>
                <w:rFonts w:ascii="Arial" w:hAnsi="Arial" w:cs="Arial"/>
                <w:lang w:val="fr-FR"/>
              </w:rPr>
              <w:t xml:space="preserve"> </w:t>
            </w:r>
            <w:r w:rsidRPr="00E257C8">
              <w:rPr>
                <w:rFonts w:ascii="Arial" w:hAnsi="Arial" w:cs="Arial"/>
                <w:lang w:val="fr-FR"/>
              </w:rPr>
              <w:t>2</w:t>
            </w:r>
            <w:r>
              <w:rPr>
                <w:rFonts w:ascii="Arial" w:hAnsi="Arial" w:cs="Arial"/>
                <w:lang w:val="fr-FR"/>
              </w:rPr>
              <w:t>,</w:t>
            </w:r>
            <w:r w:rsidRPr="00E257C8">
              <w:rPr>
                <w:rFonts w:ascii="Arial" w:hAnsi="Arial" w:cs="Arial"/>
                <w:lang w:val="fr-FR"/>
              </w:rPr>
              <w:t xml:space="preserve"> de la loi SSI, certaines informations sur les dispensateurs de soins sont déjà actuellement publiées sur le site </w:t>
            </w:r>
            <w:r w:rsidRPr="00E257C8">
              <w:rPr>
                <w:rFonts w:ascii="Arial" w:hAnsi="Arial" w:cs="Arial"/>
                <w:lang w:val="fr-FR"/>
              </w:rPr>
              <w:lastRenderedPageBreak/>
              <w:t xml:space="preserve">web de l'INAMI. L'INAMI est une institution publique qui informe le public par le biais de son site web, qui est librement accessible. </w:t>
            </w:r>
          </w:p>
        </w:tc>
        <w:tc>
          <w:tcPr>
            <w:tcW w:w="5104" w:type="dxa"/>
          </w:tcPr>
          <w:p w14:paraId="40F39B20" w14:textId="77777777" w:rsidR="00477C89" w:rsidRPr="00E257C8" w:rsidRDefault="00477C89" w:rsidP="00477C89">
            <w:pPr>
              <w:tabs>
                <w:tab w:val="left" w:pos="2925"/>
              </w:tabs>
              <w:spacing w:after="0" w:line="240" w:lineRule="auto"/>
              <w:jc w:val="both"/>
              <w:rPr>
                <w:rFonts w:ascii="Arial" w:hAnsi="Arial" w:cs="Arial"/>
                <w:lang w:val="nl-NL"/>
              </w:rPr>
            </w:pPr>
            <w:r w:rsidRPr="00E257C8">
              <w:rPr>
                <w:rFonts w:ascii="Arial" w:hAnsi="Arial" w:cs="Arial"/>
                <w:lang w:val="nl-NL"/>
              </w:rPr>
              <w:lastRenderedPageBreak/>
              <w:t xml:space="preserve">Overeenkomstig artikel 218, § 2 GVU-wet worden er momenteel al enkele gegevens van de zorgverleners gepubliceerd op de website van het </w:t>
            </w:r>
            <w:r w:rsidRPr="00E257C8">
              <w:rPr>
                <w:rFonts w:ascii="Arial" w:hAnsi="Arial" w:cs="Arial"/>
                <w:lang w:val="nl-NL"/>
              </w:rPr>
              <w:lastRenderedPageBreak/>
              <w:t xml:space="preserve">RIZIV. Het RIZIV is een openbare instelling die via de website, die vrij toegankelijk is, het publiek informeert. </w:t>
            </w:r>
          </w:p>
        </w:tc>
      </w:tr>
      <w:tr w:rsidR="00477C89" w:rsidRPr="008547A0" w14:paraId="58669654" w14:textId="77777777" w:rsidTr="005F50EE">
        <w:tc>
          <w:tcPr>
            <w:tcW w:w="5104" w:type="dxa"/>
          </w:tcPr>
          <w:p w14:paraId="0F2ECE95" w14:textId="77777777" w:rsidR="00477C89" w:rsidRPr="00962B0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1B7EF5E" w14:textId="77777777" w:rsidR="00477C89" w:rsidRPr="00962B0D" w:rsidRDefault="00477C89" w:rsidP="00477C89">
            <w:pPr>
              <w:tabs>
                <w:tab w:val="left" w:pos="2925"/>
              </w:tabs>
              <w:spacing w:after="0" w:line="240" w:lineRule="auto"/>
              <w:jc w:val="both"/>
              <w:rPr>
                <w:rFonts w:ascii="Arial" w:hAnsi="Arial" w:cs="Arial"/>
                <w:lang w:val="nl-NL"/>
              </w:rPr>
            </w:pPr>
          </w:p>
        </w:tc>
      </w:tr>
      <w:tr w:rsidR="00477C89" w:rsidRPr="008547A0" w14:paraId="3D60F9C5" w14:textId="77777777" w:rsidTr="005F50EE">
        <w:tc>
          <w:tcPr>
            <w:tcW w:w="5104" w:type="dxa"/>
          </w:tcPr>
          <w:p w14:paraId="72A202A8" w14:textId="275BDBC9" w:rsidR="00477C89" w:rsidRPr="00E257C8" w:rsidRDefault="00477C89" w:rsidP="00477C89">
            <w:pPr>
              <w:tabs>
                <w:tab w:val="left" w:pos="4468"/>
                <w:tab w:val="left" w:pos="5643"/>
                <w:tab w:val="left" w:pos="9747"/>
              </w:tabs>
              <w:spacing w:after="0" w:line="240" w:lineRule="auto"/>
              <w:jc w:val="both"/>
              <w:rPr>
                <w:rFonts w:ascii="Arial" w:hAnsi="Arial" w:cs="Arial"/>
                <w:lang w:val="fr-FR"/>
              </w:rPr>
            </w:pPr>
            <w:r w:rsidRPr="00E257C8">
              <w:rPr>
                <w:rFonts w:ascii="Arial" w:hAnsi="Arial" w:cs="Arial"/>
                <w:lang w:val="fr-FR"/>
              </w:rPr>
              <w:t xml:space="preserve">La loi SSI prévoit déjà actuellement </w:t>
            </w:r>
            <w:r w:rsidRPr="00347376">
              <w:rPr>
                <w:rFonts w:ascii="Arial" w:hAnsi="Arial" w:cs="Arial"/>
                <w:lang w:val="fr-FR"/>
              </w:rPr>
              <w:t>qu’une interdiction d’utiliser le régime du tiers payant peut être imposée par les juridictions administratives aux dispensateurs de soins ayant fait un usage abusif de ce régime (article 144, § 3/1 de la loi SSI). Durant cette interdiction, le dispensateur de soins peut toujours exercer sa profession et facturer, mais il ne peut pas utiliser le système de tiers payant pour ce faire. Cela veut dire qu’il ne peut qu'attester en établissant une attestation de soins donnés à l'assuré, qui soumettra ensuite cette attestation à l’organisme assureur et recevra ainsi son remboursement. Cette mesure peut donc avoir une conséquence pour les assurés</w:t>
            </w:r>
            <w:r w:rsidRPr="00E257C8">
              <w:rPr>
                <w:rFonts w:ascii="Arial" w:hAnsi="Arial" w:cs="Arial"/>
                <w:lang w:val="fr-FR"/>
              </w:rPr>
              <w:t xml:space="preserve">.  </w:t>
            </w:r>
          </w:p>
        </w:tc>
        <w:tc>
          <w:tcPr>
            <w:tcW w:w="5104" w:type="dxa"/>
          </w:tcPr>
          <w:p w14:paraId="4C4CE7AF" w14:textId="0A0B791A" w:rsidR="00477C89" w:rsidRPr="00E257C8" w:rsidRDefault="00477C89" w:rsidP="00477C89">
            <w:pPr>
              <w:tabs>
                <w:tab w:val="left" w:pos="2925"/>
              </w:tabs>
              <w:spacing w:after="0" w:line="240" w:lineRule="auto"/>
              <w:jc w:val="both"/>
              <w:rPr>
                <w:rFonts w:ascii="Arial" w:hAnsi="Arial" w:cs="Arial"/>
                <w:lang w:val="nl-NL"/>
              </w:rPr>
            </w:pPr>
            <w:r w:rsidRPr="00E257C8">
              <w:rPr>
                <w:rFonts w:ascii="Arial" w:hAnsi="Arial" w:cs="Arial"/>
                <w:lang w:val="nl-NL"/>
              </w:rPr>
              <w:t xml:space="preserve">De GVU-wet voorziet momenteel al </w:t>
            </w:r>
            <w:r w:rsidRPr="00347376">
              <w:rPr>
                <w:rFonts w:ascii="Arial" w:hAnsi="Arial" w:cs="Arial"/>
                <w:lang w:val="nl-NL"/>
              </w:rPr>
              <w:t>dat er een verbod op de toepassing van de derdebetalersregeling opgelegd kan worden door de administratieve rechtscolleges aan de zorgverleners die misbruik maakten van het regime (artikel 144, § 3/1 GVU-wet). Gedurende de periode van het verbod mag de zorgverlener nog steeds zijn beroep uitoefenen en mag nog steeds aanrekenen, maar hij mag daarvoor geen gebruik maken van de derdebetalersregeling. Dat wil zeggen dat hij enkel mag attesteren door een getuigschrift voor verstrekte hulp op te stellen voor de verzekerde, die nadien dat getuigschrift zal indienen bij de verzekeringsinstelling en op die manier zijn terugbetaling zal ontvangen. Die maatregel kan dus een gevolg hebben voor de verzekerden</w:t>
            </w:r>
            <w:r w:rsidRPr="00E257C8">
              <w:rPr>
                <w:rFonts w:ascii="Arial" w:hAnsi="Arial" w:cs="Arial"/>
                <w:lang w:val="nl-NL"/>
              </w:rPr>
              <w:t xml:space="preserve">.  </w:t>
            </w:r>
          </w:p>
        </w:tc>
      </w:tr>
      <w:tr w:rsidR="00477C89" w:rsidRPr="008547A0" w14:paraId="39B8460F" w14:textId="77777777" w:rsidTr="005F50EE">
        <w:tc>
          <w:tcPr>
            <w:tcW w:w="5104" w:type="dxa"/>
          </w:tcPr>
          <w:p w14:paraId="142E9316" w14:textId="77777777" w:rsidR="00477C89" w:rsidRPr="00962B0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9CD72C1" w14:textId="77777777" w:rsidR="00477C89" w:rsidRPr="00962B0D" w:rsidRDefault="00477C89" w:rsidP="00477C89">
            <w:pPr>
              <w:tabs>
                <w:tab w:val="left" w:pos="2925"/>
              </w:tabs>
              <w:spacing w:after="0" w:line="240" w:lineRule="auto"/>
              <w:jc w:val="both"/>
              <w:rPr>
                <w:rFonts w:ascii="Arial" w:hAnsi="Arial" w:cs="Arial"/>
                <w:lang w:val="nl-NL"/>
              </w:rPr>
            </w:pPr>
          </w:p>
        </w:tc>
      </w:tr>
      <w:tr w:rsidR="00477C89" w:rsidRPr="008547A0" w14:paraId="75ACB7DA" w14:textId="77777777" w:rsidTr="005F50EE">
        <w:tc>
          <w:tcPr>
            <w:tcW w:w="5104" w:type="dxa"/>
          </w:tcPr>
          <w:p w14:paraId="5C65CE36" w14:textId="59EEBEA7" w:rsidR="00477C89" w:rsidRPr="00347376" w:rsidRDefault="00477C89" w:rsidP="00477C89">
            <w:pPr>
              <w:tabs>
                <w:tab w:val="left" w:pos="4468"/>
                <w:tab w:val="left" w:pos="5643"/>
                <w:tab w:val="left" w:pos="9747"/>
              </w:tabs>
              <w:spacing w:after="0" w:line="240" w:lineRule="auto"/>
              <w:jc w:val="both"/>
              <w:rPr>
                <w:rFonts w:ascii="Arial" w:hAnsi="Arial" w:cs="Arial"/>
                <w:lang w:val="fr-FR"/>
              </w:rPr>
            </w:pPr>
            <w:r w:rsidRPr="00347376">
              <w:rPr>
                <w:rFonts w:ascii="Arial" w:hAnsi="Arial" w:cs="Arial"/>
                <w:lang w:val="fr-FR"/>
              </w:rPr>
              <w:t>La suspension du numéro INAMI insérée par ce projet est une autre mesure qui peut être imposée au dispensateur de soins dont l’assuré doit être aussi informé.</w:t>
            </w:r>
          </w:p>
        </w:tc>
        <w:tc>
          <w:tcPr>
            <w:tcW w:w="5104" w:type="dxa"/>
          </w:tcPr>
          <w:p w14:paraId="48A4CF2C" w14:textId="6E827591" w:rsidR="00477C89" w:rsidRPr="00347376" w:rsidRDefault="00477C89" w:rsidP="00477C89">
            <w:pPr>
              <w:tabs>
                <w:tab w:val="left" w:pos="2925"/>
              </w:tabs>
              <w:spacing w:after="0" w:line="240" w:lineRule="auto"/>
              <w:jc w:val="both"/>
              <w:rPr>
                <w:rFonts w:ascii="Arial" w:hAnsi="Arial" w:cs="Arial"/>
                <w:lang w:val="nl-NL"/>
              </w:rPr>
            </w:pPr>
            <w:r w:rsidRPr="00347376">
              <w:rPr>
                <w:rFonts w:ascii="Arial" w:hAnsi="Arial" w:cs="Arial"/>
                <w:lang w:val="nl-NL"/>
              </w:rPr>
              <w:t xml:space="preserve">De opschorting van het RIZIV-nummer dat ingevoegd wordt door dit ontwerp, is een andere maatregel die opgelegd kan worden aan de zorgverlener waarover de verzekerde ook geïnformeerd moet worden.  </w:t>
            </w:r>
          </w:p>
        </w:tc>
      </w:tr>
      <w:tr w:rsidR="00477C89" w:rsidRPr="008547A0" w14:paraId="2CB7971A" w14:textId="77777777" w:rsidTr="005F50EE">
        <w:tc>
          <w:tcPr>
            <w:tcW w:w="5104" w:type="dxa"/>
          </w:tcPr>
          <w:p w14:paraId="4C5AC233" w14:textId="77777777" w:rsidR="00477C89" w:rsidRPr="00347376"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0D8EAE1" w14:textId="77777777" w:rsidR="00477C89" w:rsidRPr="00347376" w:rsidRDefault="00477C89" w:rsidP="00477C89">
            <w:pPr>
              <w:tabs>
                <w:tab w:val="left" w:pos="2925"/>
              </w:tabs>
              <w:spacing w:after="0" w:line="240" w:lineRule="auto"/>
              <w:jc w:val="both"/>
              <w:rPr>
                <w:rFonts w:ascii="Arial" w:hAnsi="Arial" w:cs="Arial"/>
                <w:lang w:val="nl-NL"/>
              </w:rPr>
            </w:pPr>
          </w:p>
        </w:tc>
      </w:tr>
      <w:tr w:rsidR="00477C89" w:rsidRPr="008547A0" w14:paraId="1317CE70" w14:textId="77777777" w:rsidTr="005F50EE">
        <w:tc>
          <w:tcPr>
            <w:tcW w:w="5104" w:type="dxa"/>
          </w:tcPr>
          <w:p w14:paraId="716AB3EE" w14:textId="6722019D" w:rsidR="00477C89" w:rsidRPr="00E257C8" w:rsidRDefault="00477C89" w:rsidP="00477C89">
            <w:pPr>
              <w:tabs>
                <w:tab w:val="left" w:pos="4468"/>
                <w:tab w:val="left" w:pos="5643"/>
                <w:tab w:val="left" w:pos="9747"/>
              </w:tabs>
              <w:spacing w:after="0" w:line="240" w:lineRule="auto"/>
              <w:jc w:val="both"/>
              <w:rPr>
                <w:rFonts w:ascii="Arial" w:hAnsi="Arial" w:cs="Arial"/>
                <w:lang w:val="fr-FR"/>
              </w:rPr>
            </w:pPr>
            <w:r>
              <w:rPr>
                <w:rFonts w:ascii="Arial" w:hAnsi="Arial" w:cs="Arial"/>
                <w:lang w:val="fr-FR"/>
              </w:rPr>
              <w:t>Lorsque</w:t>
            </w:r>
            <w:r w:rsidRPr="00E257C8">
              <w:rPr>
                <w:rFonts w:ascii="Arial" w:hAnsi="Arial" w:cs="Arial"/>
                <w:lang w:val="fr-FR"/>
              </w:rPr>
              <w:t xml:space="preserve"> le numéro INAMI du dispensateur de soins est temporairement suspendu</w:t>
            </w:r>
            <w:r>
              <w:rPr>
                <w:rFonts w:ascii="Arial" w:hAnsi="Arial" w:cs="Arial"/>
                <w:lang w:val="fr-FR"/>
              </w:rPr>
              <w:t>,</w:t>
            </w:r>
            <w:r w:rsidRPr="00E257C8">
              <w:rPr>
                <w:rFonts w:ascii="Arial" w:hAnsi="Arial" w:cs="Arial"/>
                <w:lang w:val="fr-FR"/>
              </w:rPr>
              <w:t xml:space="preserve"> </w:t>
            </w:r>
            <w:r>
              <w:rPr>
                <w:rFonts w:ascii="Arial" w:hAnsi="Arial" w:cs="Arial"/>
                <w:lang w:val="fr-FR"/>
              </w:rPr>
              <w:t>c</w:t>
            </w:r>
            <w:r w:rsidRPr="00E257C8">
              <w:rPr>
                <w:rFonts w:ascii="Arial" w:hAnsi="Arial" w:cs="Arial"/>
                <w:lang w:val="fr-FR"/>
              </w:rPr>
              <w:t xml:space="preserve">ela </w:t>
            </w:r>
            <w:r>
              <w:rPr>
                <w:rFonts w:ascii="Arial" w:hAnsi="Arial" w:cs="Arial"/>
                <w:lang w:val="fr-FR"/>
              </w:rPr>
              <w:t>implique qu’il</w:t>
            </w:r>
            <w:r w:rsidRPr="00E257C8">
              <w:rPr>
                <w:rFonts w:ascii="Arial" w:hAnsi="Arial" w:cs="Arial"/>
                <w:lang w:val="fr-FR"/>
              </w:rPr>
              <w:t xml:space="preserve"> n'est plus autorisé à facturer ni à attester</w:t>
            </w:r>
            <w:r w:rsidRPr="001266B8">
              <w:rPr>
                <w:lang w:val="fr-FR"/>
              </w:rPr>
              <w:t xml:space="preserve"> </w:t>
            </w:r>
            <w:r w:rsidRPr="001266B8">
              <w:rPr>
                <w:rFonts w:ascii="Arial" w:hAnsi="Arial" w:cs="Arial"/>
                <w:lang w:val="fr-FR"/>
              </w:rPr>
              <w:t>ses prestations, que ce soit en utilisant ou non le régime de tiers payant</w:t>
            </w:r>
            <w:r w:rsidRPr="00E257C8">
              <w:rPr>
                <w:rFonts w:ascii="Arial" w:hAnsi="Arial" w:cs="Arial"/>
                <w:lang w:val="fr-FR"/>
              </w:rPr>
              <w:t xml:space="preserve">. Il ne s'agit pas d'une mesure déontologique, mais d'une mesure qui peut être imposée </w:t>
            </w:r>
            <w:r>
              <w:rPr>
                <w:rFonts w:ascii="Arial" w:hAnsi="Arial" w:cs="Arial"/>
                <w:lang w:val="fr-FR"/>
              </w:rPr>
              <w:t xml:space="preserve">uniquement </w:t>
            </w:r>
            <w:r w:rsidRPr="00E257C8">
              <w:rPr>
                <w:rFonts w:ascii="Arial" w:hAnsi="Arial" w:cs="Arial"/>
                <w:lang w:val="fr-FR"/>
              </w:rPr>
              <w:t>par les juridictions administratives</w:t>
            </w:r>
            <w:r>
              <w:rPr>
                <w:rFonts w:ascii="Arial" w:hAnsi="Arial" w:cs="Arial"/>
                <w:lang w:val="fr-FR"/>
              </w:rPr>
              <w:t xml:space="preserve"> </w:t>
            </w:r>
            <w:r w:rsidRPr="001266B8">
              <w:rPr>
                <w:rFonts w:ascii="Arial" w:hAnsi="Arial" w:cs="Arial"/>
                <w:lang w:val="fr-FR"/>
              </w:rPr>
              <w:t>(les Chambres de 1</w:t>
            </w:r>
            <w:r w:rsidRPr="001266B8">
              <w:rPr>
                <w:rFonts w:ascii="Arial" w:hAnsi="Arial" w:cs="Arial"/>
                <w:vertAlign w:val="superscript"/>
                <w:lang w:val="fr-FR"/>
              </w:rPr>
              <w:t>re</w:t>
            </w:r>
            <w:r w:rsidRPr="001266B8">
              <w:rPr>
                <w:rFonts w:ascii="Arial" w:hAnsi="Arial" w:cs="Arial"/>
                <w:lang w:val="fr-FR"/>
              </w:rPr>
              <w:t xml:space="preserve"> instance et les Chambres de recours installées auprès du SECM)</w:t>
            </w:r>
            <w:r w:rsidRPr="00E257C8">
              <w:rPr>
                <w:rFonts w:ascii="Arial" w:hAnsi="Arial" w:cs="Arial"/>
                <w:lang w:val="fr-FR"/>
              </w:rPr>
              <w:t xml:space="preserve">. Ce n'est pas le dispensateur de soins lui-même qui est temporairement suspendu, c'est son numéro INAMI qui est temporairement suspendu. </w:t>
            </w:r>
          </w:p>
        </w:tc>
        <w:tc>
          <w:tcPr>
            <w:tcW w:w="5104" w:type="dxa"/>
          </w:tcPr>
          <w:p w14:paraId="2585A501" w14:textId="22BF249A" w:rsidR="00477C89" w:rsidRPr="00E257C8" w:rsidRDefault="00477C89" w:rsidP="00477C89">
            <w:pPr>
              <w:tabs>
                <w:tab w:val="left" w:pos="2925"/>
              </w:tabs>
              <w:spacing w:after="0" w:line="240" w:lineRule="auto"/>
              <w:jc w:val="both"/>
              <w:rPr>
                <w:rFonts w:ascii="Arial" w:hAnsi="Arial" w:cs="Arial"/>
                <w:lang w:val="nl-NL"/>
              </w:rPr>
            </w:pPr>
            <w:r>
              <w:rPr>
                <w:rFonts w:ascii="Arial" w:hAnsi="Arial" w:cs="Arial"/>
                <w:lang w:val="nl-NL"/>
              </w:rPr>
              <w:t>H</w:t>
            </w:r>
            <w:r w:rsidRPr="00E257C8">
              <w:rPr>
                <w:rFonts w:ascii="Arial" w:hAnsi="Arial" w:cs="Arial"/>
                <w:lang w:val="nl-NL"/>
              </w:rPr>
              <w:t xml:space="preserve">et RIZIV-nummer van de zorgverlener </w:t>
            </w:r>
            <w:r>
              <w:rPr>
                <w:rFonts w:ascii="Arial" w:hAnsi="Arial" w:cs="Arial"/>
                <w:lang w:val="nl-NL"/>
              </w:rPr>
              <w:t xml:space="preserve">wordt </w:t>
            </w:r>
            <w:r w:rsidRPr="00E257C8">
              <w:rPr>
                <w:rFonts w:ascii="Arial" w:hAnsi="Arial" w:cs="Arial"/>
                <w:lang w:val="nl-NL"/>
              </w:rPr>
              <w:t>tijdelijk opgeschort</w:t>
            </w:r>
            <w:r>
              <w:rPr>
                <w:rFonts w:ascii="Arial" w:hAnsi="Arial" w:cs="Arial"/>
                <w:lang w:val="nl-NL"/>
              </w:rPr>
              <w:t>,</w:t>
            </w:r>
            <w:r w:rsidRPr="00E257C8">
              <w:rPr>
                <w:rFonts w:ascii="Arial" w:hAnsi="Arial" w:cs="Arial"/>
                <w:lang w:val="nl-NL"/>
              </w:rPr>
              <w:t xml:space="preserve"> </w:t>
            </w:r>
            <w:r>
              <w:rPr>
                <w:rFonts w:ascii="Arial" w:hAnsi="Arial" w:cs="Arial"/>
                <w:lang w:val="nl-NL"/>
              </w:rPr>
              <w:t>d</w:t>
            </w:r>
            <w:r w:rsidRPr="00E257C8">
              <w:rPr>
                <w:rFonts w:ascii="Arial" w:hAnsi="Arial" w:cs="Arial"/>
                <w:lang w:val="nl-NL"/>
              </w:rPr>
              <w:t xml:space="preserve">at wil zeggen dat de zorgverlener </w:t>
            </w:r>
            <w:r>
              <w:rPr>
                <w:rFonts w:ascii="Arial" w:hAnsi="Arial" w:cs="Arial"/>
                <w:lang w:val="nl-NL"/>
              </w:rPr>
              <w:t xml:space="preserve">zijn prestaties </w:t>
            </w:r>
            <w:r w:rsidRPr="00E257C8">
              <w:rPr>
                <w:rFonts w:ascii="Arial" w:hAnsi="Arial" w:cs="Arial"/>
                <w:lang w:val="nl-NL"/>
              </w:rPr>
              <w:t>niet meer mag aanrekenen noch attesteren</w:t>
            </w:r>
            <w:r w:rsidRPr="001266B8">
              <w:rPr>
                <w:rFonts w:ascii="Arial" w:hAnsi="Arial" w:cs="Arial"/>
                <w:lang w:val="nl-NL"/>
              </w:rPr>
              <w:t>, of het nu via de derdebetalersregling is of niet</w:t>
            </w:r>
            <w:r w:rsidRPr="00E257C8">
              <w:rPr>
                <w:rFonts w:ascii="Arial" w:hAnsi="Arial" w:cs="Arial"/>
                <w:lang w:val="nl-NL"/>
              </w:rPr>
              <w:t xml:space="preserve">. Dit is geen deontologische maatregel, maar een maatregel die </w:t>
            </w:r>
            <w:r>
              <w:rPr>
                <w:rFonts w:ascii="Arial" w:hAnsi="Arial" w:cs="Arial"/>
                <w:lang w:val="nl-NL"/>
              </w:rPr>
              <w:t xml:space="preserve">enkel </w:t>
            </w:r>
            <w:r w:rsidRPr="00E257C8">
              <w:rPr>
                <w:rFonts w:ascii="Arial" w:hAnsi="Arial" w:cs="Arial"/>
                <w:lang w:val="nl-NL"/>
              </w:rPr>
              <w:t>door de administratieve rechtscolleges</w:t>
            </w:r>
            <w:r w:rsidRPr="001266B8">
              <w:rPr>
                <w:lang w:val="nl-NL"/>
              </w:rPr>
              <w:t xml:space="preserve"> </w:t>
            </w:r>
            <w:r w:rsidRPr="001266B8">
              <w:rPr>
                <w:rFonts w:ascii="Arial" w:hAnsi="Arial" w:cs="Arial"/>
                <w:lang w:val="nl-NL"/>
              </w:rPr>
              <w:t xml:space="preserve">(de Kamers van eerste aanleg en de Kamers van beroep ingesteld bij de DGEC) </w:t>
            </w:r>
            <w:r w:rsidRPr="00E257C8">
              <w:rPr>
                <w:rFonts w:ascii="Arial" w:hAnsi="Arial" w:cs="Arial"/>
                <w:lang w:val="nl-NL"/>
              </w:rPr>
              <w:t xml:space="preserve"> opgelegd kan worden. Het is niet de zorgverlener zelf die tijdelijk geschorst wordt, het is zijn RIZIV-nummer dat tijdelijk opgeschort wordt.</w:t>
            </w:r>
          </w:p>
        </w:tc>
      </w:tr>
      <w:tr w:rsidR="00477C89" w:rsidRPr="008547A0" w14:paraId="2DA03389" w14:textId="77777777" w:rsidTr="005F50EE">
        <w:tc>
          <w:tcPr>
            <w:tcW w:w="5104" w:type="dxa"/>
          </w:tcPr>
          <w:p w14:paraId="13576593" w14:textId="77777777" w:rsidR="00477C89" w:rsidRPr="00962B0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AE06570" w14:textId="77777777" w:rsidR="00477C89" w:rsidRPr="00962B0D" w:rsidRDefault="00477C89" w:rsidP="00477C89">
            <w:pPr>
              <w:tabs>
                <w:tab w:val="left" w:pos="2925"/>
              </w:tabs>
              <w:spacing w:after="0" w:line="240" w:lineRule="auto"/>
              <w:jc w:val="both"/>
              <w:rPr>
                <w:rFonts w:ascii="Arial" w:hAnsi="Arial" w:cs="Arial"/>
                <w:lang w:val="nl-NL"/>
              </w:rPr>
            </w:pPr>
          </w:p>
        </w:tc>
      </w:tr>
      <w:tr w:rsidR="00477C89" w:rsidRPr="008547A0" w14:paraId="278B8ECF" w14:textId="77777777" w:rsidTr="005F50EE">
        <w:tc>
          <w:tcPr>
            <w:tcW w:w="5104" w:type="dxa"/>
          </w:tcPr>
          <w:p w14:paraId="75E5CAEF" w14:textId="3E3436A5" w:rsidR="00477C89" w:rsidRPr="00E257C8" w:rsidRDefault="00477C89" w:rsidP="00477C89">
            <w:pPr>
              <w:tabs>
                <w:tab w:val="left" w:pos="4468"/>
                <w:tab w:val="left" w:pos="5643"/>
                <w:tab w:val="left" w:pos="9747"/>
              </w:tabs>
              <w:spacing w:after="0" w:line="240" w:lineRule="auto"/>
              <w:jc w:val="both"/>
              <w:rPr>
                <w:rFonts w:ascii="Arial" w:hAnsi="Arial" w:cs="Arial"/>
                <w:lang w:val="fr-FR"/>
              </w:rPr>
            </w:pPr>
            <w:r w:rsidRPr="00E257C8">
              <w:rPr>
                <w:rFonts w:ascii="Arial" w:hAnsi="Arial" w:cs="Arial"/>
                <w:lang w:val="fr-FR"/>
              </w:rPr>
              <w:t xml:space="preserve">Le dispensateur de soins est </w:t>
            </w:r>
            <w:r>
              <w:rPr>
                <w:rFonts w:ascii="Arial" w:hAnsi="Arial" w:cs="Arial"/>
                <w:lang w:val="fr-FR"/>
              </w:rPr>
              <w:t>tenu d’</w:t>
            </w:r>
            <w:r w:rsidRPr="00E257C8">
              <w:rPr>
                <w:rFonts w:ascii="Arial" w:hAnsi="Arial" w:cs="Arial"/>
                <w:lang w:val="fr-FR"/>
              </w:rPr>
              <w:t xml:space="preserve">informer les assurés de ce type de mesures avant d'effectuer une prestation (obligation </w:t>
            </w:r>
            <w:r>
              <w:rPr>
                <w:rFonts w:ascii="Arial" w:hAnsi="Arial" w:cs="Arial"/>
                <w:lang w:val="fr-FR"/>
              </w:rPr>
              <w:t>simultanément</w:t>
            </w:r>
            <w:r w:rsidRPr="00E257C8">
              <w:rPr>
                <w:rFonts w:ascii="Arial" w:hAnsi="Arial" w:cs="Arial"/>
                <w:lang w:val="fr-FR"/>
              </w:rPr>
              <w:t xml:space="preserve"> introduite par cette loi</w:t>
            </w:r>
            <w:r>
              <w:rPr>
                <w:rFonts w:ascii="Arial" w:hAnsi="Arial" w:cs="Arial"/>
                <w:lang w:val="fr-FR"/>
              </w:rPr>
              <w:t xml:space="preserve"> à l’article 73, § 1</w:t>
            </w:r>
            <w:r w:rsidRPr="001266B8">
              <w:rPr>
                <w:rFonts w:ascii="Arial" w:hAnsi="Arial" w:cs="Arial"/>
                <w:vertAlign w:val="superscript"/>
                <w:lang w:val="fr-FR"/>
              </w:rPr>
              <w:t>er</w:t>
            </w:r>
            <w:r>
              <w:rPr>
                <w:rFonts w:ascii="Arial" w:hAnsi="Arial" w:cs="Arial"/>
                <w:lang w:val="fr-FR"/>
              </w:rPr>
              <w:t>, dernier alinéa</w:t>
            </w:r>
            <w:r w:rsidRPr="00E257C8">
              <w:rPr>
                <w:rFonts w:ascii="Arial" w:hAnsi="Arial" w:cs="Arial"/>
                <w:lang w:val="fr-FR"/>
              </w:rPr>
              <w:t xml:space="preserve">).Toutefois, </w:t>
            </w:r>
            <w:r>
              <w:rPr>
                <w:rFonts w:ascii="Arial" w:hAnsi="Arial" w:cs="Arial"/>
                <w:lang w:val="fr-FR"/>
              </w:rPr>
              <w:t>l’Institut</w:t>
            </w:r>
            <w:r w:rsidRPr="00E257C8">
              <w:rPr>
                <w:rFonts w:ascii="Arial" w:hAnsi="Arial" w:cs="Arial"/>
                <w:lang w:val="fr-FR"/>
              </w:rPr>
              <w:t xml:space="preserve"> </w:t>
            </w:r>
            <w:r>
              <w:rPr>
                <w:rFonts w:ascii="Arial" w:hAnsi="Arial" w:cs="Arial"/>
                <w:lang w:val="fr-FR"/>
              </w:rPr>
              <w:t>lui</w:t>
            </w:r>
            <w:r w:rsidRPr="00E257C8">
              <w:rPr>
                <w:rFonts w:ascii="Arial" w:hAnsi="Arial" w:cs="Arial"/>
                <w:lang w:val="fr-FR"/>
              </w:rPr>
              <w:t xml:space="preserve">-même a également l'obligation d'informer le public à ce propos. Lorsque l'on met en balance le droit du dispensateur de soins à la protection de ses données personnelles et le droit des assurés de </w:t>
            </w:r>
            <w:r w:rsidRPr="00E257C8">
              <w:rPr>
                <w:rFonts w:ascii="Arial" w:hAnsi="Arial" w:cs="Arial"/>
                <w:lang w:val="fr-FR"/>
              </w:rPr>
              <w:lastRenderedPageBreak/>
              <w:t>recevoir des informations correctes, le droit de l'assuré prévaut dans ce cas.</w:t>
            </w:r>
          </w:p>
        </w:tc>
        <w:tc>
          <w:tcPr>
            <w:tcW w:w="5104" w:type="dxa"/>
          </w:tcPr>
          <w:p w14:paraId="0BA72D8F" w14:textId="3A31A3CD" w:rsidR="00477C89" w:rsidRPr="00E257C8" w:rsidRDefault="00477C89" w:rsidP="00477C89">
            <w:pPr>
              <w:tabs>
                <w:tab w:val="left" w:pos="2925"/>
              </w:tabs>
              <w:spacing w:after="0" w:line="240" w:lineRule="auto"/>
              <w:jc w:val="both"/>
              <w:rPr>
                <w:rFonts w:ascii="Arial" w:hAnsi="Arial" w:cs="Arial"/>
                <w:lang w:val="nl-NL"/>
              </w:rPr>
            </w:pPr>
            <w:r w:rsidRPr="00E257C8">
              <w:rPr>
                <w:rFonts w:ascii="Arial" w:hAnsi="Arial" w:cs="Arial"/>
                <w:lang w:val="nl-NL"/>
              </w:rPr>
              <w:lastRenderedPageBreak/>
              <w:t xml:space="preserve">De zorgverlener </w:t>
            </w:r>
            <w:r>
              <w:rPr>
                <w:rFonts w:ascii="Arial" w:hAnsi="Arial" w:cs="Arial"/>
                <w:lang w:val="nl-NL"/>
              </w:rPr>
              <w:t>is ertoe gehouden</w:t>
            </w:r>
            <w:r w:rsidRPr="00E257C8">
              <w:rPr>
                <w:rFonts w:ascii="Arial" w:hAnsi="Arial" w:cs="Arial"/>
                <w:lang w:val="nl-NL"/>
              </w:rPr>
              <w:t xml:space="preserve"> de verzekerden te informeren over dat soort maatregelen vooraleer een prestatie uit te voeren (verplichting ook ingevoegd via deze wet</w:t>
            </w:r>
            <w:r>
              <w:rPr>
                <w:rFonts w:ascii="Arial" w:hAnsi="Arial" w:cs="Arial"/>
                <w:lang w:val="nl-NL"/>
              </w:rPr>
              <w:t xml:space="preserve"> in artikel 73, § 1, laatste lid</w:t>
            </w:r>
            <w:r w:rsidRPr="00E257C8">
              <w:rPr>
                <w:rFonts w:ascii="Arial" w:hAnsi="Arial" w:cs="Arial"/>
                <w:lang w:val="nl-NL"/>
              </w:rPr>
              <w:t xml:space="preserve">). Het is echter ook de verplichting van de </w:t>
            </w:r>
            <w:r>
              <w:rPr>
                <w:rFonts w:ascii="Arial" w:hAnsi="Arial" w:cs="Arial"/>
                <w:lang w:val="nl-NL"/>
              </w:rPr>
              <w:t>Instituut</w:t>
            </w:r>
            <w:r w:rsidRPr="00E257C8">
              <w:rPr>
                <w:rFonts w:ascii="Arial" w:hAnsi="Arial" w:cs="Arial"/>
                <w:lang w:val="nl-NL"/>
              </w:rPr>
              <w:t xml:space="preserve"> zelf om het publiek hierover te informeren. Wanneer de afweging gemaakt wordt tussen het recht van de zorgverlener op bescherming van zijn persoonsgegevens en het recht van de </w:t>
            </w:r>
            <w:r w:rsidRPr="00E257C8">
              <w:rPr>
                <w:rFonts w:ascii="Arial" w:hAnsi="Arial" w:cs="Arial"/>
                <w:lang w:val="nl-NL"/>
              </w:rPr>
              <w:lastRenderedPageBreak/>
              <w:t xml:space="preserve">verzekerden op correcte informatie, primeert het recht van de verzekerde in dit geval. </w:t>
            </w:r>
          </w:p>
        </w:tc>
      </w:tr>
      <w:tr w:rsidR="00477C89" w:rsidRPr="008547A0" w14:paraId="1877FEE2" w14:textId="77777777" w:rsidTr="005F50EE">
        <w:tc>
          <w:tcPr>
            <w:tcW w:w="5104" w:type="dxa"/>
          </w:tcPr>
          <w:p w14:paraId="2FF25618" w14:textId="77777777" w:rsidR="00477C89" w:rsidRPr="00962B0D"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EDDA7B6" w14:textId="77777777" w:rsidR="00477C89" w:rsidRPr="00962B0D" w:rsidRDefault="00477C89" w:rsidP="00477C89">
            <w:pPr>
              <w:tabs>
                <w:tab w:val="left" w:pos="2925"/>
              </w:tabs>
              <w:spacing w:after="0" w:line="240" w:lineRule="auto"/>
              <w:jc w:val="both"/>
              <w:rPr>
                <w:rFonts w:ascii="Arial" w:hAnsi="Arial" w:cs="Arial"/>
                <w:lang w:val="nl-NL"/>
              </w:rPr>
            </w:pPr>
          </w:p>
        </w:tc>
      </w:tr>
      <w:tr w:rsidR="00477C89" w:rsidRPr="008547A0" w14:paraId="1897B6E8" w14:textId="77777777" w:rsidTr="005F50EE">
        <w:tc>
          <w:tcPr>
            <w:tcW w:w="5104" w:type="dxa"/>
          </w:tcPr>
          <w:p w14:paraId="4E79F10D" w14:textId="77777777" w:rsidR="00477C89" w:rsidRPr="00E257C8" w:rsidRDefault="00477C89" w:rsidP="00477C89">
            <w:pPr>
              <w:tabs>
                <w:tab w:val="left" w:pos="4468"/>
                <w:tab w:val="left" w:pos="5643"/>
                <w:tab w:val="left" w:pos="9747"/>
              </w:tabs>
              <w:spacing w:after="0" w:line="240" w:lineRule="auto"/>
              <w:jc w:val="both"/>
              <w:rPr>
                <w:rFonts w:ascii="Arial" w:hAnsi="Arial" w:cs="Arial"/>
                <w:lang w:val="fr-FR"/>
              </w:rPr>
            </w:pPr>
            <w:r w:rsidRPr="00E257C8">
              <w:rPr>
                <w:rFonts w:ascii="Arial" w:hAnsi="Arial" w:cs="Arial"/>
                <w:lang w:val="fr-FR"/>
              </w:rPr>
              <w:t xml:space="preserve">Seules les mesures susceptibles d'affecter l'assuré doivent être divulguées. Il est à noter que ces mesures sont imposées dans les décisions des juridictions administratives. Il s'agit des décisions qui sont publiées sous une forme pseudonymisée sur le site Internet de l'INAMI conformément à l'article 157, § 3 de la loi SSI. Ce principe reste maintenu car l'intégralité de la décision n'est pas nécessairement pertinente pour le public. </w:t>
            </w:r>
          </w:p>
        </w:tc>
        <w:tc>
          <w:tcPr>
            <w:tcW w:w="5104" w:type="dxa"/>
          </w:tcPr>
          <w:p w14:paraId="37216E78" w14:textId="77777777" w:rsidR="00477C89" w:rsidRPr="00E257C8" w:rsidRDefault="00477C89" w:rsidP="00477C89">
            <w:pPr>
              <w:tabs>
                <w:tab w:val="left" w:pos="2925"/>
              </w:tabs>
              <w:spacing w:after="0" w:line="240" w:lineRule="auto"/>
              <w:jc w:val="both"/>
              <w:rPr>
                <w:rFonts w:ascii="Arial" w:hAnsi="Arial" w:cs="Arial"/>
                <w:lang w:val="nl-NL"/>
              </w:rPr>
            </w:pPr>
            <w:r w:rsidRPr="00E257C8">
              <w:rPr>
                <w:rFonts w:ascii="Arial" w:hAnsi="Arial" w:cs="Arial"/>
                <w:lang w:val="nl-NL"/>
              </w:rPr>
              <w:t xml:space="preserve">Het zijn enkel de maatregelen die een gevolg kunnen hebben voor de verzekerden die bekend gemaakt moeten worden. Noteer daarbij dat die maatregelen opgelegd worden in de beslissingen van de administratieve rechtscolleges. Dat zijn beslissingen die overeenkomstig artikel 157, § 3 GVU-wet in gepseudonimiseerde vorm gepubliceerd worden op de website van het RIZIV. Dat principe blijft behouden aangezien het geheel van de beslissing niet noodzakelijk relevant is voor het publiek. </w:t>
            </w:r>
          </w:p>
        </w:tc>
      </w:tr>
      <w:tr w:rsidR="00477C89" w:rsidRPr="008547A0" w14:paraId="40E21536" w14:textId="77777777" w:rsidTr="005F50EE">
        <w:tc>
          <w:tcPr>
            <w:tcW w:w="5104" w:type="dxa"/>
          </w:tcPr>
          <w:p w14:paraId="0F50966F" w14:textId="77777777" w:rsidR="00477C89" w:rsidRPr="00E257C8"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1A7E3FD" w14:textId="77777777" w:rsidR="00477C89" w:rsidRPr="00E257C8" w:rsidRDefault="00477C89" w:rsidP="00477C89">
            <w:pPr>
              <w:tabs>
                <w:tab w:val="left" w:pos="2925"/>
              </w:tabs>
              <w:spacing w:after="0" w:line="240" w:lineRule="auto"/>
              <w:jc w:val="both"/>
              <w:rPr>
                <w:rFonts w:ascii="Arial" w:hAnsi="Arial" w:cs="Arial"/>
                <w:lang w:val="nl-NL"/>
              </w:rPr>
            </w:pPr>
          </w:p>
        </w:tc>
      </w:tr>
      <w:tr w:rsidR="00477C89" w:rsidRPr="008547A0" w14:paraId="50656BC3" w14:textId="77777777" w:rsidTr="005F50EE">
        <w:tc>
          <w:tcPr>
            <w:tcW w:w="5104" w:type="dxa"/>
          </w:tcPr>
          <w:p w14:paraId="3C548A37" w14:textId="77777777" w:rsidR="00477C89" w:rsidRPr="00E257C8" w:rsidRDefault="00477C89" w:rsidP="00477C89">
            <w:pPr>
              <w:tabs>
                <w:tab w:val="left" w:pos="4468"/>
                <w:tab w:val="left" w:pos="5643"/>
                <w:tab w:val="left" w:pos="9747"/>
              </w:tabs>
              <w:spacing w:after="0" w:line="240" w:lineRule="auto"/>
              <w:jc w:val="both"/>
              <w:rPr>
                <w:rFonts w:ascii="Arial" w:hAnsi="Arial" w:cs="Arial"/>
                <w:lang w:val="fr-FR"/>
              </w:rPr>
            </w:pPr>
            <w:r w:rsidRPr="00E257C8">
              <w:rPr>
                <w:rFonts w:ascii="Arial" w:hAnsi="Arial" w:cs="Arial"/>
                <w:lang w:val="fr-FR"/>
              </w:rPr>
              <w:t>L'adaptation de l'article 218 de la loi SSI permet, à l'avenir, lors de la recherche d'un dispensateur de soins sur le site web de l'INAMI, de lire, en plus des données générales, si une telle mesure a été imposée qui peut avoir des conséquences pour les assurés. Cette adaptation est proportionnée car il ne s'agit pas de publier un registre distinct des « dispensateurs de soins condamnés », ni de rendre soudainement publiques d'autres informations sur ces dispensateurs de soins mais uniquement les mesures susceptibles d'avoir des conséquences pour l'assuré. Bien que certaines informations tirées des décisions du Fonctionnaire dirigeant et des juridictions administratives puissent être utiles aux assurés, par exemple dans le cas d'un dispensateur de soins qui facture des services inutiles, il est actuellement prévu que seules les mesures ayant une conséquence directe pour l'assuré soient visibles lorsque le dispensateur de soins fait l'objet d'une recherche sur le site web de l'INAMI.</w:t>
            </w:r>
            <w:r w:rsidRPr="00E257C8">
              <w:rPr>
                <w:lang w:val="fr-FR"/>
              </w:rPr>
              <w:t xml:space="preserve"> </w:t>
            </w:r>
            <w:r w:rsidRPr="00E257C8">
              <w:rPr>
                <w:rFonts w:ascii="Arial" w:hAnsi="Arial" w:cs="Arial"/>
                <w:lang w:val="fr-FR"/>
              </w:rPr>
              <w:t>Cette obligation est conforme à l'obligation d'information et au libre choix de l'assuré prévus aux articles 6 et 8 de la loi sur les droits des patients. L'assuré doit pouvoir choisir librement sur la base de toutes les informations, y compris celles relatives aux options de tarification des dispensateurs de soins.</w:t>
            </w:r>
          </w:p>
        </w:tc>
        <w:tc>
          <w:tcPr>
            <w:tcW w:w="5104" w:type="dxa"/>
          </w:tcPr>
          <w:p w14:paraId="12473268" w14:textId="77777777" w:rsidR="00477C89" w:rsidRPr="00E257C8" w:rsidRDefault="00477C89" w:rsidP="00477C89">
            <w:pPr>
              <w:tabs>
                <w:tab w:val="left" w:pos="2925"/>
              </w:tabs>
              <w:spacing w:after="0" w:line="240" w:lineRule="auto"/>
              <w:jc w:val="both"/>
              <w:rPr>
                <w:rFonts w:ascii="Arial" w:hAnsi="Arial" w:cs="Arial"/>
                <w:lang w:val="nl-NL"/>
              </w:rPr>
            </w:pPr>
            <w:r w:rsidRPr="00E257C8">
              <w:rPr>
                <w:rFonts w:ascii="Arial" w:hAnsi="Arial" w:cs="Arial"/>
                <w:lang w:val="nl-NL"/>
              </w:rPr>
              <w:t>De aanpassing van artikel 218 GVU-wet laat toe om in de toekomst, wanneer je een zorgverlener opzoekt via de website van het RIZIV, naast de algemene gegevens ook te kunnen lezen of er een dergelijke maatregel werd opgelegd die gevolgen kan hebben voor de verzekerden. Die aanpassing is proportioneel aangezien het niet zo is dat er een apart register gepubliceerd wordt met ‘veroordeelde zorgverleners’, noch is het zo dat er voor die zorgverleners plots meer informatie publiek gemaakt wordt dan enkel de maatregelen die een gevolg kunnen hebben voor de verzekerde.</w:t>
            </w:r>
            <w:r w:rsidRPr="00E257C8">
              <w:rPr>
                <w:lang w:val="nl-NL"/>
              </w:rPr>
              <w:t xml:space="preserve"> </w:t>
            </w:r>
            <w:r w:rsidRPr="00E257C8">
              <w:rPr>
                <w:rFonts w:ascii="Arial" w:hAnsi="Arial" w:cs="Arial"/>
                <w:lang w:val="nl-NL"/>
              </w:rPr>
              <w:t>Alhoewel bepaalde informatie uit de beslissingen van zowel de Leidend ambtenaar als de administratieve rechtscolleges nuttig kunnen zijn voor de verzekerden, denk aan een zorgverlener die overbodige prestaties aanrekent, wordt er momenteel enkel voorzien dat de maatregelen met een rechtstreeks gevolg voor de verzekerden zichtbaar worden wanneer de zorgverlener opgezocht wordt via de website van het RIZIV. Die verplichting sluit aan bij de informatieplicht en de vrije keuze van de verzekerde uit artikel 6 en 8 van de patiëntenrechtenwet. De verzekerde moet vrij kunnen kiezen op basis van alle informatie, ook de informatie die betrekking heeft op de aanrekenmogelijkheden van de zorgverleners.</w:t>
            </w:r>
          </w:p>
        </w:tc>
      </w:tr>
      <w:tr w:rsidR="00477C89" w:rsidRPr="008547A0" w14:paraId="77CAB79C" w14:textId="77777777" w:rsidTr="005F50EE">
        <w:tc>
          <w:tcPr>
            <w:tcW w:w="5104" w:type="dxa"/>
          </w:tcPr>
          <w:p w14:paraId="5DE40994" w14:textId="77777777" w:rsidR="00477C89" w:rsidRPr="00E257C8"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05068A2" w14:textId="77777777" w:rsidR="00477C89" w:rsidRPr="00E257C8" w:rsidRDefault="00477C89" w:rsidP="00477C89">
            <w:pPr>
              <w:tabs>
                <w:tab w:val="left" w:pos="2925"/>
              </w:tabs>
              <w:spacing w:after="0" w:line="240" w:lineRule="auto"/>
              <w:jc w:val="both"/>
              <w:rPr>
                <w:rFonts w:ascii="Arial" w:hAnsi="Arial" w:cs="Arial"/>
                <w:lang w:val="nl-NL"/>
              </w:rPr>
            </w:pPr>
          </w:p>
        </w:tc>
      </w:tr>
      <w:tr w:rsidR="00477C89" w:rsidRPr="008547A0" w14:paraId="6036964F" w14:textId="77777777" w:rsidTr="005F50EE">
        <w:tc>
          <w:tcPr>
            <w:tcW w:w="5104" w:type="dxa"/>
          </w:tcPr>
          <w:p w14:paraId="65233868" w14:textId="4185B552" w:rsidR="00477C89" w:rsidRPr="00DF4489" w:rsidRDefault="00477C89" w:rsidP="00477C89">
            <w:pPr>
              <w:spacing w:after="0" w:line="240" w:lineRule="auto"/>
              <w:jc w:val="center"/>
              <w:outlineLvl w:val="0"/>
              <w:rPr>
                <w:rFonts w:ascii="Arial" w:eastAsia="Times New Roman" w:hAnsi="Arial" w:cs="Arial"/>
                <w:b/>
                <w:i/>
                <w:lang w:val="fr-FR"/>
              </w:rPr>
            </w:pPr>
            <w:r w:rsidRPr="00DF4489">
              <w:rPr>
                <w:rFonts w:ascii="Arial" w:eastAsia="Times New Roman" w:hAnsi="Arial" w:cs="Arial"/>
                <w:b/>
                <w:i/>
                <w:lang w:val="fr-FR"/>
              </w:rPr>
              <w:t xml:space="preserve">Section </w:t>
            </w:r>
            <w:r>
              <w:rPr>
                <w:rFonts w:ascii="Arial" w:eastAsia="Times New Roman" w:hAnsi="Arial" w:cs="Arial"/>
                <w:b/>
                <w:i/>
                <w:lang w:val="fr-FR"/>
              </w:rPr>
              <w:t>X+10</w:t>
            </w:r>
            <w:r w:rsidRPr="00DF4489">
              <w:rPr>
                <w:rFonts w:ascii="Arial" w:eastAsia="Times New Roman" w:hAnsi="Arial" w:cs="Arial"/>
                <w:b/>
                <w:i/>
                <w:lang w:val="fr-FR"/>
              </w:rPr>
              <w:t xml:space="preserve"> – </w:t>
            </w:r>
            <w:r>
              <w:rPr>
                <w:rFonts w:ascii="Arial" w:eastAsia="Times New Roman" w:hAnsi="Arial" w:cs="Arial"/>
                <w:b/>
                <w:i/>
                <w:lang w:val="fr-FR"/>
              </w:rPr>
              <w:t>Evaluation et contrôle médicaux</w:t>
            </w:r>
          </w:p>
        </w:tc>
        <w:tc>
          <w:tcPr>
            <w:tcW w:w="5104" w:type="dxa"/>
          </w:tcPr>
          <w:p w14:paraId="1337D6C2" w14:textId="5E5FDA94" w:rsidR="00477C89" w:rsidRPr="00EE6F91" w:rsidRDefault="00477C89" w:rsidP="00477C89">
            <w:pPr>
              <w:spacing w:after="0" w:line="240" w:lineRule="auto"/>
              <w:jc w:val="center"/>
              <w:outlineLvl w:val="0"/>
              <w:rPr>
                <w:rFonts w:ascii="Arial" w:eastAsia="Times New Roman" w:hAnsi="Arial" w:cs="Arial"/>
                <w:i/>
                <w:lang w:val="nl-NL"/>
              </w:rPr>
            </w:pPr>
            <w:r w:rsidRPr="00DF4489">
              <w:rPr>
                <w:rFonts w:ascii="Arial" w:eastAsia="Times New Roman" w:hAnsi="Arial" w:cs="Arial"/>
                <w:b/>
                <w:i/>
                <w:lang w:val="nl-BE"/>
              </w:rPr>
              <w:t xml:space="preserve">Afdeling </w:t>
            </w:r>
            <w:r>
              <w:rPr>
                <w:rFonts w:ascii="Arial" w:eastAsia="Times New Roman" w:hAnsi="Arial" w:cs="Arial"/>
                <w:b/>
                <w:i/>
                <w:lang w:val="nl-BE"/>
              </w:rPr>
              <w:t>X+10</w:t>
            </w:r>
            <w:r w:rsidRPr="00DF4489">
              <w:rPr>
                <w:rFonts w:ascii="Arial" w:eastAsia="Times New Roman" w:hAnsi="Arial" w:cs="Arial"/>
                <w:b/>
                <w:i/>
                <w:lang w:val="nl-BE"/>
              </w:rPr>
              <w:t xml:space="preserve"> – </w:t>
            </w:r>
            <w:r>
              <w:rPr>
                <w:rFonts w:ascii="Arial" w:eastAsia="Times New Roman" w:hAnsi="Arial" w:cs="Arial"/>
                <w:b/>
                <w:i/>
                <w:lang w:val="nl-BE"/>
              </w:rPr>
              <w:t>Geneeskundige evaluatie en controle</w:t>
            </w:r>
          </w:p>
        </w:tc>
      </w:tr>
      <w:tr w:rsidR="00477C89" w:rsidRPr="008547A0" w14:paraId="51564F63" w14:textId="77777777" w:rsidTr="005F50EE">
        <w:tc>
          <w:tcPr>
            <w:tcW w:w="5104" w:type="dxa"/>
          </w:tcPr>
          <w:p w14:paraId="3100EC91"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B803AA4" w14:textId="77777777" w:rsidR="00477C89" w:rsidRPr="00DF4489"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578DA9A0" w14:textId="77777777" w:rsidTr="005F50EE">
        <w:tc>
          <w:tcPr>
            <w:tcW w:w="5104" w:type="dxa"/>
          </w:tcPr>
          <w:p w14:paraId="1FC5700B" w14:textId="1D65C079"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+54</w:t>
            </w:r>
          </w:p>
        </w:tc>
        <w:tc>
          <w:tcPr>
            <w:tcW w:w="5104" w:type="dxa"/>
          </w:tcPr>
          <w:p w14:paraId="74681229" w14:textId="6395A2FE"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commentRangeStart w:id="20"/>
            <w:r w:rsidRPr="00EE6F91">
              <w:rPr>
                <w:rFonts w:ascii="Arial" w:hAnsi="Arial" w:cs="Arial"/>
                <w:b/>
                <w:bCs/>
                <w:lang w:val="nl-NL"/>
              </w:rPr>
              <w:t>Art. X</w:t>
            </w:r>
            <w:r>
              <w:rPr>
                <w:rFonts w:ascii="Arial" w:hAnsi="Arial" w:cs="Arial"/>
                <w:b/>
                <w:bCs/>
                <w:lang w:val="nl-NL"/>
              </w:rPr>
              <w:t>+54</w:t>
            </w:r>
            <w:commentRangeEnd w:id="20"/>
            <w:r>
              <w:rPr>
                <w:rStyle w:val="Verwijzingopmerking"/>
              </w:rPr>
              <w:commentReference w:id="20"/>
            </w:r>
          </w:p>
        </w:tc>
      </w:tr>
      <w:tr w:rsidR="00477C89" w:rsidRPr="00EE6F91" w14:paraId="7A486D42" w14:textId="77777777" w:rsidTr="005F50EE">
        <w:tc>
          <w:tcPr>
            <w:tcW w:w="5104" w:type="dxa"/>
          </w:tcPr>
          <w:p w14:paraId="34F53021"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D4424E6"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274B7EF4" w14:textId="77777777" w:rsidTr="005F50EE">
        <w:tc>
          <w:tcPr>
            <w:tcW w:w="5104" w:type="dxa"/>
          </w:tcPr>
          <w:p w14:paraId="71173E04" w14:textId="731E1D3A"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 xml:space="preserve">Ce nouvel article prévoit qu’un membre ne peut être nommé pour siéger au sein des différents organes de l’Institut s’il a fait l’objet dans les cinq </w:t>
            </w:r>
            <w:r w:rsidRPr="00EE6F91">
              <w:rPr>
                <w:rFonts w:ascii="Arial" w:hAnsi="Arial" w:cs="Arial"/>
                <w:lang w:val="fr-FR"/>
              </w:rPr>
              <w:lastRenderedPageBreak/>
              <w:t>ans qui précèdent d’une condamnation prononcée par le fonctionnaire-dirigeant du SECM, les Chambres de première instance ou les Chambres de recours (juridictions administratives installées auprès du SECM) ou d’une condamnation judiciaire pour infraction visée au Code pénal social (faux, usage de faux, déclarations inexactes ou incomplètes ou escroquerie) : dans un cas comme dans l’autre, il s’agit de comportements sanctionnés qui portent préjudice à l’assurance soins de santé.</w:t>
            </w:r>
          </w:p>
        </w:tc>
        <w:tc>
          <w:tcPr>
            <w:tcW w:w="5104" w:type="dxa"/>
          </w:tcPr>
          <w:p w14:paraId="23B30ECC" w14:textId="655431E1"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lastRenderedPageBreak/>
              <w:t xml:space="preserve">Dit nieuwe artikel bepaalt dat een lid niet kan worden benoemd om te zetelen in de verschillende organen van het Instituut indien hij in de voorbije vijf </w:t>
            </w:r>
            <w:r w:rsidRPr="00EE6F91">
              <w:rPr>
                <w:rFonts w:ascii="Arial" w:hAnsi="Arial" w:cs="Arial"/>
                <w:lang w:val="nl-NL"/>
              </w:rPr>
              <w:lastRenderedPageBreak/>
              <w:t>jaar werd veroordeeld door de Leidend ambtenaar van de DGEC, de Kamers van eerste aanleg of de Kamers van beroep (administratieve rechtscolleges ingesteld bij de DGEC),  of een rechterlijke veroordeling voor een overtreding volgens het Sociaal Strafwetboek (valsheid, gebruik van valse stukken, onjuiste of onvolledige verklaringen of oplichting): in beide gevallen gaat het om bestraft gedrag dat schade toebracht aan de ziekteverzekering.</w:t>
            </w:r>
          </w:p>
        </w:tc>
      </w:tr>
      <w:tr w:rsidR="00477C89" w:rsidRPr="008547A0" w14:paraId="4298E1A8" w14:textId="77777777" w:rsidTr="005F50EE">
        <w:tc>
          <w:tcPr>
            <w:tcW w:w="5104" w:type="dxa"/>
          </w:tcPr>
          <w:p w14:paraId="6AEE6225"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63822B8"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56CF670B" w14:textId="77777777" w:rsidTr="005F50EE">
        <w:tc>
          <w:tcPr>
            <w:tcW w:w="5104" w:type="dxa"/>
          </w:tcPr>
          <w:p w14:paraId="62B82913" w14:textId="7E15CAAF"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 xml:space="preserve">Le fait d’avoir une « dette ouverte » à l’égard de l’Institut constitue également un obstacle à une nomination pour siéger dans un des organes de l’Institut. </w:t>
            </w:r>
          </w:p>
        </w:tc>
        <w:tc>
          <w:tcPr>
            <w:tcW w:w="5104" w:type="dxa"/>
          </w:tcPr>
          <w:p w14:paraId="6D18FFE6"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Een “openstaande schuld” ten aanzien van het Instituut is ook een belemmering voor benoeming in een van de organen van het Instituut.</w:t>
            </w:r>
          </w:p>
          <w:p w14:paraId="4E0CA980"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67E142B6" w14:textId="77777777" w:rsidTr="005F50EE">
        <w:tc>
          <w:tcPr>
            <w:tcW w:w="5104" w:type="dxa"/>
          </w:tcPr>
          <w:p w14:paraId="1389153D" w14:textId="6796FCF6"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D008454" w14:textId="24E45B80"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01BBC0F7" w14:textId="77777777" w:rsidTr="005F50EE">
        <w:tc>
          <w:tcPr>
            <w:tcW w:w="5104" w:type="dxa"/>
          </w:tcPr>
          <w:p w14:paraId="715CE3BB" w14:textId="17EF9E17"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 xml:space="preserve">Il est également prévu que le Roi peut mettre fin à la nomination anticipativement pour les mêmes raisons. </w:t>
            </w:r>
          </w:p>
        </w:tc>
        <w:tc>
          <w:tcPr>
            <w:tcW w:w="5104" w:type="dxa"/>
          </w:tcPr>
          <w:p w14:paraId="139978CB" w14:textId="250DA7EB"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 xml:space="preserve">Er wordt ook bepaald dat de Koning de benoeming vervroegd kan beëindigen om dezelfde redenen. </w:t>
            </w:r>
          </w:p>
        </w:tc>
      </w:tr>
      <w:tr w:rsidR="00477C89" w:rsidRPr="008547A0" w14:paraId="64375842" w14:textId="77777777" w:rsidTr="005F50EE">
        <w:tc>
          <w:tcPr>
            <w:tcW w:w="5104" w:type="dxa"/>
          </w:tcPr>
          <w:p w14:paraId="26239E56" w14:textId="33C881AC"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F7E1D50" w14:textId="267363CD"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248A884D" w14:textId="77777777" w:rsidTr="005F50EE">
        <w:tc>
          <w:tcPr>
            <w:tcW w:w="5104" w:type="dxa"/>
          </w:tcPr>
          <w:p w14:paraId="33510558" w14:textId="2666CE7C"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 xml:space="preserve">Le terme « organes » est utilisé de manière générique : il vise notamment les Comités de gestion, les Conseils techniques, les Commissions </w:t>
            </w:r>
            <w:r>
              <w:rPr>
                <w:rFonts w:ascii="Arial" w:hAnsi="Arial" w:cs="Arial"/>
                <w:lang w:val="fr-FR"/>
              </w:rPr>
              <w:t>d’accords</w:t>
            </w:r>
            <w:r w:rsidRPr="00EE6F91">
              <w:rPr>
                <w:rFonts w:ascii="Arial" w:hAnsi="Arial" w:cs="Arial"/>
                <w:lang w:val="fr-FR"/>
              </w:rPr>
              <w:t>, etc…  Ce qui évite de devoir adapter ultérieurement la loi si la dénomination des organes devait changer ou si de nouveaux organes étaient créés.</w:t>
            </w:r>
          </w:p>
        </w:tc>
        <w:tc>
          <w:tcPr>
            <w:tcW w:w="5104" w:type="dxa"/>
          </w:tcPr>
          <w:p w14:paraId="4646C89A" w14:textId="510C31DA"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 xml:space="preserve">De term “organen” wordt algemeen gebruikt: het gaat met name om beheerscomités, technische raden, </w:t>
            </w:r>
            <w:r>
              <w:rPr>
                <w:rFonts w:ascii="Arial" w:hAnsi="Arial" w:cs="Arial"/>
                <w:lang w:val="nl-NL"/>
              </w:rPr>
              <w:t>akkoorden</w:t>
            </w:r>
            <w:r w:rsidRPr="00EE6F91">
              <w:rPr>
                <w:rFonts w:ascii="Arial" w:hAnsi="Arial" w:cs="Arial"/>
                <w:lang w:val="nl-NL"/>
              </w:rPr>
              <w:t>commissies, enz. Zo wordt vermeden dat de wet later moet worden aangepast indien de namen van de organen zouden veranderen of indien nieuwe organen zouden worden opgericht.</w:t>
            </w:r>
          </w:p>
        </w:tc>
      </w:tr>
      <w:tr w:rsidR="00477C89" w:rsidRPr="008547A0" w14:paraId="4C50B967" w14:textId="77777777" w:rsidTr="005F50EE">
        <w:tc>
          <w:tcPr>
            <w:tcW w:w="5104" w:type="dxa"/>
          </w:tcPr>
          <w:p w14:paraId="1D2B9E6F" w14:textId="1E4A3BD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D69BBA7" w14:textId="2E2360ED"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55A87AB0" w14:textId="77777777" w:rsidTr="005F50EE">
        <w:tc>
          <w:tcPr>
            <w:tcW w:w="5104" w:type="dxa"/>
          </w:tcPr>
          <w:p w14:paraId="60E9CC1A" w14:textId="68F47E98"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 xml:space="preserve">Il est important pour le bon fonctionnement et la réputation de l’Institut que la probité des membres de ses organes soit garantie.   </w:t>
            </w:r>
          </w:p>
        </w:tc>
        <w:tc>
          <w:tcPr>
            <w:tcW w:w="5104" w:type="dxa"/>
          </w:tcPr>
          <w:p w14:paraId="0447E853" w14:textId="13922725"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 xml:space="preserve">Het is belangrijk voor de goede werking en de reputatie van het Instituut dat de integriteit van de leden van zijn organen gewaarborgd is.   </w:t>
            </w:r>
          </w:p>
        </w:tc>
      </w:tr>
      <w:tr w:rsidR="00477C89" w:rsidRPr="008547A0" w14:paraId="6B5C647F" w14:textId="77777777" w:rsidTr="005F50EE">
        <w:tc>
          <w:tcPr>
            <w:tcW w:w="5104" w:type="dxa"/>
          </w:tcPr>
          <w:p w14:paraId="72D986ED" w14:textId="4435C95F"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E1A2078" w14:textId="20E6757C"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3A0D3D32" w14:textId="77777777" w:rsidTr="005F50EE">
        <w:tc>
          <w:tcPr>
            <w:tcW w:w="5104" w:type="dxa"/>
          </w:tcPr>
          <w:p w14:paraId="6F2B1680" w14:textId="7EE9F6DD" w:rsidR="00477C89" w:rsidRPr="00EE6F91" w:rsidRDefault="00477C89" w:rsidP="00477C89">
            <w:pPr>
              <w:tabs>
                <w:tab w:val="left" w:pos="4468"/>
                <w:tab w:val="left" w:pos="5643"/>
                <w:tab w:val="left" w:pos="9747"/>
              </w:tabs>
              <w:spacing w:after="0" w:line="240" w:lineRule="auto"/>
              <w:jc w:val="both"/>
              <w:rPr>
                <w:rFonts w:ascii="Arial" w:hAnsi="Arial" w:cs="Arial"/>
                <w:lang w:val="fr-FR"/>
              </w:rPr>
            </w:pPr>
            <w:r w:rsidRPr="00EE6F91">
              <w:rPr>
                <w:rFonts w:ascii="Arial" w:hAnsi="Arial" w:cs="Arial"/>
                <w:lang w:val="fr-FR"/>
              </w:rPr>
              <w:t xml:space="preserve">Il faut également éviter que la sérénité des discussions au sein des organes précités soit « polluée » par le ressentiment nourri à l’égard de l’assurance soins santé par des membres qui auraient été sanctionnés par les juridictions précitées.    </w:t>
            </w:r>
          </w:p>
        </w:tc>
        <w:tc>
          <w:tcPr>
            <w:tcW w:w="5104" w:type="dxa"/>
          </w:tcPr>
          <w:p w14:paraId="630B0D61" w14:textId="0E1A200D"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r w:rsidRPr="00EE6F91">
              <w:rPr>
                <w:rFonts w:ascii="Arial" w:hAnsi="Arial" w:cs="Arial"/>
                <w:lang w:val="nl-NL"/>
              </w:rPr>
              <w:t xml:space="preserve">Het is ook belangrijk om ervoor te zorgen dat de sereniteit van de discussies binnen de bovengenoemde organen niet wordt “vervuild” door wrok jegens de ziekteverzekering bij leden die door de bovengenoemde rechtscolleges zijn veroordeeld.    </w:t>
            </w:r>
          </w:p>
        </w:tc>
      </w:tr>
      <w:tr w:rsidR="00477C89" w:rsidRPr="008547A0" w14:paraId="3E5D1FE9" w14:textId="77777777" w:rsidTr="005F50EE">
        <w:tc>
          <w:tcPr>
            <w:tcW w:w="5104" w:type="dxa"/>
          </w:tcPr>
          <w:p w14:paraId="3FD870F1" w14:textId="3644E14E"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D71B5EC" w14:textId="5E7B2B9C"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EE6F91" w14:paraId="2EF54F95" w14:textId="77777777" w:rsidTr="005F50EE">
        <w:tc>
          <w:tcPr>
            <w:tcW w:w="5104" w:type="dxa"/>
          </w:tcPr>
          <w:p w14:paraId="17872C22" w14:textId="7E9ADD96"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+55</w:t>
            </w:r>
          </w:p>
        </w:tc>
        <w:tc>
          <w:tcPr>
            <w:tcW w:w="5104" w:type="dxa"/>
          </w:tcPr>
          <w:p w14:paraId="37B4D251" w14:textId="1633B23D"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+55</w:t>
            </w:r>
          </w:p>
        </w:tc>
      </w:tr>
      <w:tr w:rsidR="00477C89" w:rsidRPr="00EE6F91" w14:paraId="3BC78670" w14:textId="77777777" w:rsidTr="005F50EE">
        <w:tc>
          <w:tcPr>
            <w:tcW w:w="5104" w:type="dxa"/>
          </w:tcPr>
          <w:p w14:paraId="13FADF06"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A4A9F21"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20018F1C" w14:textId="77777777" w:rsidTr="005F50EE">
        <w:tc>
          <w:tcPr>
            <w:tcW w:w="5104" w:type="dxa"/>
          </w:tcPr>
          <w:p w14:paraId="707D3B2B"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t xml:space="preserve">Pour éviter qu'un dispensateur de soins ne contourne l'interdiction de porter en compte via le régime du tiers payant, il est explicitement ajouté que les prestations, dont la date de prestation est comprise dans la période d'interdiction, ne peuvent plus être portées en compte via le régime du tiers payant après cette période. </w:t>
            </w:r>
          </w:p>
        </w:tc>
        <w:tc>
          <w:tcPr>
            <w:tcW w:w="5104" w:type="dxa"/>
          </w:tcPr>
          <w:p w14:paraId="0F53E193"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r w:rsidRPr="00E61FB2">
              <w:rPr>
                <w:rFonts w:ascii="Arial" w:hAnsi="Arial" w:cs="Arial"/>
                <w:lang w:val="nl-NL"/>
              </w:rPr>
              <w:t xml:space="preserve">Om te voorkomen dat een zorgverlener het verbod om aan te rekenen via de derdebetalersregeling zou omzeilen, wordt uitdrukkelijk toegevoegd dat de prestaties waarvan de prestatiedatum binnen de periode van het verbod liggen, niet na die periode nog aangerekend kunnen worden via de derdebetalersregeling. </w:t>
            </w:r>
          </w:p>
        </w:tc>
      </w:tr>
      <w:tr w:rsidR="00477C89" w:rsidRPr="008547A0" w14:paraId="74B879ED" w14:textId="77777777" w:rsidTr="005F50EE">
        <w:tc>
          <w:tcPr>
            <w:tcW w:w="5104" w:type="dxa"/>
          </w:tcPr>
          <w:p w14:paraId="76DBDC51"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BA003A3" w14:textId="77777777" w:rsidR="00477C89" w:rsidRPr="00E61FB2" w:rsidRDefault="00477C89" w:rsidP="00477C89">
            <w:pPr>
              <w:tabs>
                <w:tab w:val="left" w:pos="2925"/>
              </w:tabs>
              <w:spacing w:after="0" w:line="240" w:lineRule="auto"/>
              <w:jc w:val="both"/>
              <w:rPr>
                <w:rFonts w:ascii="Arial" w:hAnsi="Arial" w:cs="Arial"/>
                <w:lang w:val="nl-NL"/>
              </w:rPr>
            </w:pPr>
            <w:r w:rsidRPr="00E61FB2">
              <w:rPr>
                <w:rFonts w:ascii="Arial" w:hAnsi="Arial" w:cs="Arial"/>
                <w:lang w:val="nl-NL"/>
              </w:rPr>
              <w:tab/>
            </w:r>
          </w:p>
        </w:tc>
      </w:tr>
      <w:tr w:rsidR="00477C89" w:rsidRPr="008547A0" w14:paraId="0DF9D711" w14:textId="77777777" w:rsidTr="005F50EE">
        <w:tc>
          <w:tcPr>
            <w:tcW w:w="5104" w:type="dxa"/>
          </w:tcPr>
          <w:p w14:paraId="642A60B9" w14:textId="77777777" w:rsidR="00477C89" w:rsidRPr="00E61FB2" w:rsidRDefault="00477C89" w:rsidP="00477C89">
            <w:pPr>
              <w:tabs>
                <w:tab w:val="left" w:pos="4468"/>
                <w:tab w:val="left" w:pos="5643"/>
                <w:tab w:val="left" w:pos="9747"/>
              </w:tabs>
              <w:spacing w:after="0" w:line="240" w:lineRule="auto"/>
              <w:jc w:val="both"/>
              <w:rPr>
                <w:rFonts w:ascii="Arial" w:hAnsi="Arial" w:cs="Arial"/>
                <w:lang w:val="fr-FR"/>
              </w:rPr>
            </w:pPr>
            <w:r w:rsidRPr="00E61FB2">
              <w:rPr>
                <w:rFonts w:ascii="Arial" w:hAnsi="Arial" w:cs="Arial"/>
                <w:lang w:val="fr-FR"/>
              </w:rPr>
              <w:lastRenderedPageBreak/>
              <w:t>Cela obligera le dispensateur de soins de santé à respecter l'interdiction. Les prestations dont la date de prestation se situe dans la période d'interdiction ne peuvent donc jamais être portées en compte via le régime du tiers payant.</w:t>
            </w:r>
          </w:p>
        </w:tc>
        <w:tc>
          <w:tcPr>
            <w:tcW w:w="5104" w:type="dxa"/>
          </w:tcPr>
          <w:p w14:paraId="48CD7B23" w14:textId="77777777" w:rsidR="00477C89" w:rsidRPr="00C51760" w:rsidRDefault="00477C89" w:rsidP="00477C89">
            <w:pPr>
              <w:tabs>
                <w:tab w:val="left" w:pos="2925"/>
              </w:tabs>
              <w:spacing w:after="0" w:line="240" w:lineRule="auto"/>
              <w:jc w:val="both"/>
              <w:rPr>
                <w:rFonts w:ascii="Arial" w:hAnsi="Arial" w:cs="Arial"/>
                <w:lang w:val="nl-NL"/>
              </w:rPr>
            </w:pPr>
            <w:r w:rsidRPr="00E61FB2">
              <w:rPr>
                <w:rFonts w:ascii="Arial" w:hAnsi="Arial" w:cs="Arial"/>
                <w:lang w:val="nl-NL"/>
              </w:rPr>
              <w:t>Op die manier wordt de zorgverlener verplicht het verbod te respecteren. Prestaties waarvan de prestatiedatum binnen de periode van het verbod liggen, kunnen dus nooit aangerekend worden via de derdebetalersregeling.</w:t>
            </w:r>
          </w:p>
        </w:tc>
      </w:tr>
      <w:tr w:rsidR="00477C89" w:rsidRPr="008547A0" w14:paraId="0CB3EB5A" w14:textId="77777777" w:rsidTr="005F50EE">
        <w:tc>
          <w:tcPr>
            <w:tcW w:w="5104" w:type="dxa"/>
          </w:tcPr>
          <w:p w14:paraId="44BC697D"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B27B0BD" w14:textId="77777777" w:rsidR="00477C89" w:rsidRPr="00C51760" w:rsidRDefault="00477C89" w:rsidP="00477C89">
            <w:pPr>
              <w:tabs>
                <w:tab w:val="left" w:pos="2925"/>
              </w:tabs>
              <w:spacing w:after="0" w:line="240" w:lineRule="auto"/>
              <w:jc w:val="both"/>
              <w:rPr>
                <w:rFonts w:ascii="Arial" w:hAnsi="Arial" w:cs="Arial"/>
                <w:lang w:val="nl-NL"/>
              </w:rPr>
            </w:pPr>
          </w:p>
        </w:tc>
      </w:tr>
      <w:tr w:rsidR="00477C89" w:rsidRPr="00EE6F91" w14:paraId="636B90E0" w14:textId="77777777" w:rsidTr="005F50EE">
        <w:tc>
          <w:tcPr>
            <w:tcW w:w="5104" w:type="dxa"/>
          </w:tcPr>
          <w:p w14:paraId="5C7403F8" w14:textId="1217094F"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+56</w:t>
            </w:r>
          </w:p>
        </w:tc>
        <w:tc>
          <w:tcPr>
            <w:tcW w:w="5104" w:type="dxa"/>
          </w:tcPr>
          <w:p w14:paraId="69C91D07" w14:textId="05B031F4"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commentRangeStart w:id="21"/>
            <w:r w:rsidRPr="00EE6F91">
              <w:rPr>
                <w:rFonts w:ascii="Arial" w:hAnsi="Arial" w:cs="Arial"/>
                <w:b/>
                <w:bCs/>
                <w:lang w:val="nl-NL"/>
              </w:rPr>
              <w:t>Art. X</w:t>
            </w:r>
            <w:r>
              <w:rPr>
                <w:rFonts w:ascii="Arial" w:hAnsi="Arial" w:cs="Arial"/>
                <w:b/>
                <w:bCs/>
                <w:lang w:val="nl-NL"/>
              </w:rPr>
              <w:t>+56</w:t>
            </w:r>
            <w:commentRangeEnd w:id="21"/>
            <w:r>
              <w:rPr>
                <w:rStyle w:val="Verwijzingopmerking"/>
              </w:rPr>
              <w:commentReference w:id="21"/>
            </w:r>
          </w:p>
        </w:tc>
      </w:tr>
      <w:tr w:rsidR="00477C89" w:rsidRPr="00EE6F91" w14:paraId="5E510326" w14:textId="77777777" w:rsidTr="005F50EE">
        <w:tc>
          <w:tcPr>
            <w:tcW w:w="5104" w:type="dxa"/>
          </w:tcPr>
          <w:p w14:paraId="30A1BA77"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77B3FF2"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67EB4CF6" w14:textId="77777777" w:rsidTr="005F50EE">
        <w:tc>
          <w:tcPr>
            <w:tcW w:w="5104" w:type="dxa"/>
          </w:tcPr>
          <w:p w14:paraId="20C11DF7" w14:textId="4C798134"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Pr>
                <w:rFonts w:ascii="Arial" w:hAnsi="Arial" w:cs="Arial"/>
                <w:lang w:val="fr-FR"/>
              </w:rPr>
              <w:t>1</w:t>
            </w:r>
            <w:r w:rsidRPr="00B75D30">
              <w:rPr>
                <w:rFonts w:ascii="Arial" w:hAnsi="Arial" w:cs="Arial"/>
                <w:lang w:val="fr-FR"/>
              </w:rPr>
              <w:t>° Cette modification du texte actuel de l’article 145, §</w:t>
            </w:r>
            <w:r>
              <w:rPr>
                <w:rFonts w:ascii="Arial" w:hAnsi="Arial" w:cs="Arial"/>
                <w:lang w:val="fr-FR"/>
              </w:rPr>
              <w:t xml:space="preserve"> </w:t>
            </w:r>
            <w:r w:rsidRPr="00B75D30">
              <w:rPr>
                <w:rFonts w:ascii="Arial" w:hAnsi="Arial" w:cs="Arial"/>
                <w:lang w:val="fr-FR"/>
              </w:rPr>
              <w:t>2, alinéa 2, de la loi SSI est liée à l’insertion dans la même loi d’un nouvel article 13/3 concernant les empêchements à une nomination comme membre d’un des organes de l’Institut.</w:t>
            </w:r>
          </w:p>
          <w:p w14:paraId="0549533D"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690B0C7F" w14:textId="6C5E7E21" w:rsidR="00477C89" w:rsidRPr="00B75D30" w:rsidRDefault="00477C89" w:rsidP="00477C89">
            <w:pPr>
              <w:tabs>
                <w:tab w:val="left" w:pos="2925"/>
              </w:tabs>
              <w:spacing w:after="0" w:line="240" w:lineRule="auto"/>
              <w:jc w:val="both"/>
              <w:rPr>
                <w:rFonts w:ascii="Arial" w:hAnsi="Arial" w:cs="Arial"/>
                <w:lang w:val="nl-NL"/>
              </w:rPr>
            </w:pPr>
            <w:r>
              <w:rPr>
                <w:rFonts w:ascii="Arial" w:hAnsi="Arial" w:cs="Arial"/>
                <w:lang w:val="nl-NL"/>
              </w:rPr>
              <w:t>1</w:t>
            </w:r>
            <w:r w:rsidRPr="00B75D30">
              <w:rPr>
                <w:rFonts w:ascii="Arial" w:hAnsi="Arial" w:cs="Arial"/>
                <w:lang w:val="nl-NL"/>
              </w:rPr>
              <w:t>° Deze wijziging van de huidige tekst van artikel 145, § 2, tweede lid van de GVU-wet houdt verband met de invoeging in dezelfde wet van een nieuw artikel 13/3 betreffende belemmeringen  voor een benoeming als lid van een van de organen van het Instituut.</w:t>
            </w:r>
          </w:p>
        </w:tc>
      </w:tr>
      <w:tr w:rsidR="00477C89" w:rsidRPr="008547A0" w14:paraId="06DD6A0A" w14:textId="77777777" w:rsidTr="005F50EE">
        <w:tc>
          <w:tcPr>
            <w:tcW w:w="5104" w:type="dxa"/>
          </w:tcPr>
          <w:p w14:paraId="48F457A0"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0D2824B"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073F54B4" w14:textId="77777777" w:rsidTr="005F50EE">
        <w:tc>
          <w:tcPr>
            <w:tcW w:w="5104" w:type="dxa"/>
          </w:tcPr>
          <w:p w14:paraId="7739BF98" w14:textId="0019BAD1"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Pr>
                <w:rFonts w:ascii="Arial" w:hAnsi="Arial" w:cs="Arial"/>
                <w:lang w:val="fr-FR"/>
              </w:rPr>
              <w:t>2</w:t>
            </w:r>
            <w:r w:rsidRPr="00B75D30">
              <w:rPr>
                <w:rFonts w:ascii="Arial" w:hAnsi="Arial" w:cs="Arial"/>
                <w:lang w:val="fr-FR"/>
              </w:rPr>
              <w:t>° Il n’est pas toujours possible de remplacer ou renouveler rapidement les mandats des membres arrivés à expiration pour éviter « des chaises  vides » de sorte que cela peut «freiner » le traitement des dossiers soumis aux Chambres de 1ère instance et aux Chambres de recours (juridictions administratives).  Ce qui pourrait poser problème au regard de l’obligation d’administrer la justice dans un délai raisonnable.</w:t>
            </w:r>
          </w:p>
        </w:tc>
        <w:tc>
          <w:tcPr>
            <w:tcW w:w="5104" w:type="dxa"/>
          </w:tcPr>
          <w:p w14:paraId="7D7832BC" w14:textId="76209D18" w:rsidR="00477C89" w:rsidRPr="00B75D30" w:rsidRDefault="00477C89" w:rsidP="00477C89">
            <w:pPr>
              <w:tabs>
                <w:tab w:val="left" w:pos="2925"/>
              </w:tabs>
              <w:spacing w:after="0" w:line="240" w:lineRule="auto"/>
              <w:jc w:val="both"/>
              <w:rPr>
                <w:rFonts w:ascii="Arial" w:hAnsi="Arial" w:cs="Arial"/>
                <w:lang w:val="nl-NL"/>
              </w:rPr>
            </w:pPr>
            <w:r>
              <w:rPr>
                <w:rFonts w:ascii="Arial" w:hAnsi="Arial" w:cs="Arial"/>
                <w:lang w:val="nl-NL"/>
              </w:rPr>
              <w:t>2</w:t>
            </w:r>
            <w:r w:rsidRPr="00B75D30">
              <w:rPr>
                <w:rFonts w:ascii="Arial" w:hAnsi="Arial" w:cs="Arial"/>
                <w:lang w:val="nl-NL"/>
              </w:rPr>
              <w:t>° Het is niet altijd mogelijk om de mandaten van leden die gaan aflopen snel te vervangen of te verlengen om “lege stoelen” te voorkomen, wat de behandeling van zaken die worden voorgelegd aan de Kamers van eerste aanleg en de Kamers van beroep (administratieve rechtscolleges) kan “vertragen”.  Dat kan een probleem vormen met betrekking tot de verplichting om binnen een redelijke termijn recht te spreken.</w:t>
            </w:r>
          </w:p>
        </w:tc>
      </w:tr>
      <w:tr w:rsidR="00477C89" w:rsidRPr="008547A0" w14:paraId="609CD11F" w14:textId="77777777" w:rsidTr="005F50EE">
        <w:tc>
          <w:tcPr>
            <w:tcW w:w="5104" w:type="dxa"/>
          </w:tcPr>
          <w:p w14:paraId="23A1415A"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C54E9DD"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748523D5" w14:textId="77777777" w:rsidTr="005F50EE">
        <w:tc>
          <w:tcPr>
            <w:tcW w:w="5104" w:type="dxa"/>
          </w:tcPr>
          <w:p w14:paraId="36756DD5"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Il est impératif de pouvoir assurer la « continuité du service » exercé par les chambres précitées.</w:t>
            </w:r>
          </w:p>
          <w:p w14:paraId="7B0F8C9E"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E927AFE" w14:textId="5D8C17D4"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t>Het is absoluut noodzakelijk om de “continuïteit van de dienstverlening” door de voornoemde kamers te kunnen waarborgen.</w:t>
            </w:r>
          </w:p>
        </w:tc>
      </w:tr>
      <w:tr w:rsidR="00477C89" w:rsidRPr="008547A0" w14:paraId="6F154E36" w14:textId="77777777" w:rsidTr="005F50EE">
        <w:tc>
          <w:tcPr>
            <w:tcW w:w="5104" w:type="dxa"/>
          </w:tcPr>
          <w:p w14:paraId="32BCA01C"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9572439"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6BBFD3A4" w14:textId="77777777" w:rsidTr="005F50EE">
        <w:tc>
          <w:tcPr>
            <w:tcW w:w="5104" w:type="dxa"/>
          </w:tcPr>
          <w:p w14:paraId="2260A581"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 xml:space="preserve">Le principe de continuité du service public est défini comme un "principe général de droit à valeur législative, voire constitutionnelle, qui est le prolongement du principe constitutionnel de la permanence de l’Etat, en vertu duquel les </w:t>
            </w:r>
            <w:r w:rsidRPr="00B75D30">
              <w:rPr>
                <w:rFonts w:ascii="Arial" w:hAnsi="Arial" w:cs="Arial"/>
                <w:lang w:val="fr-FR"/>
              </w:rPr>
              <w:lastRenderedPageBreak/>
              <w:t>gouvernants, tant qu’ils considèrent un service public comme nécessaire à la satisfaction d’un besoin collectif, ont le droit et l’obligation d’assurer le fonctionnement régulier et continu de ce service, conformément à sa nature et aux règles qui l’organisent » (P. GOFFAUX, Dictionnaire élémentaire de droit administratif, Bruylant, 2006, p. 72.).</w:t>
            </w:r>
          </w:p>
          <w:p w14:paraId="1F664D9A"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32BBDAA6" w14:textId="627B1AD2"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lastRenderedPageBreak/>
              <w:t xml:space="preserve">Het beginsel van de continuïteit van de openbare dienstverlening wordt gedefinieerd als een “algemeen rechtsbeginsel met wetgevende of zelfs grondwettelijke waarde, dat in het verlengde ligt van het grondwettelijk beginsel van de </w:t>
            </w:r>
            <w:r w:rsidRPr="00B75D30">
              <w:rPr>
                <w:rFonts w:ascii="Arial" w:hAnsi="Arial" w:cs="Arial"/>
                <w:lang w:val="nl-NL"/>
              </w:rPr>
              <w:lastRenderedPageBreak/>
              <w:t>bestendigheid van de staat, krachtens hetwelk regeringen, zolang zij een openbare dienst noodzakelijk achten voor de bevrediging van een collectieve behoefte, het recht en de plicht hebben om de regelmatige en ononderbroken werking van deze dienst te verzekeren, overeenkomstig de aard ervan en de regels die deze organiseren (vrije vertaling)” (P. GOFFAUX, Dictionnaire élémentaire de droit administratif, Bruylant, 2006, blz. 72).</w:t>
            </w:r>
          </w:p>
        </w:tc>
      </w:tr>
      <w:tr w:rsidR="00477C89" w:rsidRPr="008547A0" w14:paraId="09712DE4" w14:textId="77777777" w:rsidTr="005F50EE">
        <w:tc>
          <w:tcPr>
            <w:tcW w:w="5104" w:type="dxa"/>
          </w:tcPr>
          <w:p w14:paraId="39272367"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D8604C1"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1BC78CB9" w14:textId="77777777" w:rsidTr="005F50EE">
        <w:tc>
          <w:tcPr>
            <w:tcW w:w="5104" w:type="dxa"/>
          </w:tcPr>
          <w:p w14:paraId="55FA4C22" w14:textId="2D4468B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 xml:space="preserve">Il a été souligné qu’il existait suffisamment d’arguments permettant de conclure à la valeur constitutionnelle du principe de continuité du service public (VUYLSTEKE V.  et DE SOMER S., Le principe de continuité du service public – The show must go on…, in Ben Messaoud S et Viseur </w:t>
            </w:r>
            <w:r w:rsidRPr="00B75D30">
              <w:rPr>
                <w:rFonts w:ascii="Arial" w:hAnsi="Arial" w:cs="Arial"/>
                <w:lang w:val="fr-FR"/>
              </w:rPr>
              <w:lastRenderedPageBreak/>
              <w:t>F, Les principes généraux de droit administratif, Bruxelles, Larcier, 2019, p.236).</w:t>
            </w:r>
          </w:p>
        </w:tc>
        <w:tc>
          <w:tcPr>
            <w:tcW w:w="5104" w:type="dxa"/>
          </w:tcPr>
          <w:p w14:paraId="7E47990D" w14:textId="27C0DF54"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lastRenderedPageBreak/>
              <w:t xml:space="preserve">Er werd op gewezen dat er voldoende argumenten waren om te besluiten dat het beginsel van de continuïteit van de openbare dienst grondwettelijke waarde had (VUYLSTEKE V. en DE SOMER S., Le principe de continuité du service public - The show must go on..., in Ben Messaoud S en Viseur F, Les </w:t>
            </w:r>
            <w:r w:rsidRPr="00B75D30">
              <w:rPr>
                <w:rFonts w:ascii="Arial" w:hAnsi="Arial" w:cs="Arial"/>
                <w:lang w:val="nl-NL"/>
              </w:rPr>
              <w:lastRenderedPageBreak/>
              <w:t>principes généraux de droit administratif, Bruxelles, Larcier, 2019, p.236).</w:t>
            </w:r>
          </w:p>
        </w:tc>
      </w:tr>
      <w:tr w:rsidR="00477C89" w:rsidRPr="008547A0" w14:paraId="28F58219" w14:textId="77777777" w:rsidTr="005F50EE">
        <w:tc>
          <w:tcPr>
            <w:tcW w:w="5104" w:type="dxa"/>
          </w:tcPr>
          <w:p w14:paraId="516E5891"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14897D5"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08772B43" w14:textId="77777777" w:rsidTr="005F50EE">
        <w:tc>
          <w:tcPr>
            <w:tcW w:w="5104" w:type="dxa"/>
          </w:tcPr>
          <w:p w14:paraId="6D8CCA01" w14:textId="34720E19"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La Cour de cassation a jugé que le principe général du droit de la continuité du service public, applicable à l'Ordre des médecins, implique que des personnes qui remplissent un mandat aux conseils d'appel de l'Ordre des médecins, sont en droit, lorsque leur mandat est arrivé à échéance, de poursuivre l'exercice de leurs fonctions jusqu'au moment de leur remplacement ou de leur nouvelle désignation (Cass., 9 décembre 1977, Pas., 1978, I, p. 409).</w:t>
            </w:r>
          </w:p>
        </w:tc>
        <w:tc>
          <w:tcPr>
            <w:tcW w:w="5104" w:type="dxa"/>
          </w:tcPr>
          <w:p w14:paraId="45801F0A" w14:textId="77777777"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t>Het Hof van Cassatie heeft geoordeeld dat het algemeen rechtsbeginsel van de continuïteit van de openbare dienst, dat van toepassing is op de Orde der Artsen, impliceert dat de personen die een ambt bekleden in de raden van beroep van de Orde der Artsen, na afloop van hun ambtstermijn het recht hebben om hun functie te blijven uitoefenen totdat zij worden vervangen of herbenoemd (Cass., 9 december 1977, Pas., 1978, I, p. 409).</w:t>
            </w:r>
          </w:p>
          <w:p w14:paraId="4D2E68CC"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57CBBFD3" w14:textId="77777777" w:rsidTr="005F50EE">
        <w:tc>
          <w:tcPr>
            <w:tcW w:w="5104" w:type="dxa"/>
          </w:tcPr>
          <w:p w14:paraId="5EC351F3"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62BC25B"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3584790F" w14:textId="77777777" w:rsidTr="005F50EE">
        <w:tc>
          <w:tcPr>
            <w:tcW w:w="5104" w:type="dxa"/>
          </w:tcPr>
          <w:p w14:paraId="3E8AE648" w14:textId="169391DA"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 xml:space="preserve">Il a même été considéré que le principe général de la continuité du service public permet et impose au titulaire d'un mandat de continuer à siéger au-delà du terme de celui-ci, aussi longtemps que son remplaçant n'est pas désigné (voy. notamment : C.E., arrêt n°200.009 du 25 janvier 2010). </w:t>
            </w:r>
          </w:p>
        </w:tc>
        <w:tc>
          <w:tcPr>
            <w:tcW w:w="5104" w:type="dxa"/>
          </w:tcPr>
          <w:p w14:paraId="71B12FD2" w14:textId="364F1796"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t>Er is zelfs geoordeeld dat het algemeen beginsel van de continuïteit van de openbare dienst toestaat en vereist dat de houder van een mandaat na afloop van dat mandaat in functie blijft, zolang er geen vervanger is benoemd (zie met name: C.E., arrest nr. 200.009 van 25 januari 2010).</w:t>
            </w:r>
          </w:p>
        </w:tc>
      </w:tr>
      <w:tr w:rsidR="00477C89" w:rsidRPr="008547A0" w14:paraId="1289BD13" w14:textId="77777777" w:rsidTr="005F50EE">
        <w:tc>
          <w:tcPr>
            <w:tcW w:w="5104" w:type="dxa"/>
          </w:tcPr>
          <w:p w14:paraId="36251256"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73D3792"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7A06A475" w14:textId="77777777" w:rsidTr="005F50EE">
        <w:tc>
          <w:tcPr>
            <w:tcW w:w="5104" w:type="dxa"/>
          </w:tcPr>
          <w:p w14:paraId="49273DFF" w14:textId="1348A299"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Dès lors, pour éviter un « risque de paralysie » dans le fonctionnement des chambres précitées, et afin d’assurer la « bonne administration de la justice », le principe de continuité doit permettre aux membres, dont le mandat est arrivé à expiration, de continuer à exercer leur mission jusqu’à leur remplacement ou jusqu’au renouvellement de leur mandat.</w:t>
            </w:r>
          </w:p>
        </w:tc>
        <w:tc>
          <w:tcPr>
            <w:tcW w:w="5104" w:type="dxa"/>
          </w:tcPr>
          <w:p w14:paraId="01822D0B" w14:textId="13CBC784"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t>Om een “risico van verlamming” van de werking van voornoemde Kamers te voorkomen en een “goede rechtsbedeling” te waarborgen, moet het continuïteitsbeginsel de leden wier ambtstermijn gaat verstrijken in staat stellen hun functie te blijven uitoefenen totdat zij worden vervangen of hun ambtstermijn wordt verlengd.</w:t>
            </w:r>
            <w:r w:rsidRPr="00B75D30">
              <w:rPr>
                <w:rFonts w:ascii="Arial" w:hAnsi="Arial" w:cs="Arial"/>
                <w:lang w:val="nl-NL"/>
              </w:rPr>
              <w:tab/>
            </w:r>
          </w:p>
        </w:tc>
      </w:tr>
      <w:tr w:rsidR="00477C89" w:rsidRPr="008547A0" w14:paraId="52773613" w14:textId="77777777" w:rsidTr="005F50EE">
        <w:tc>
          <w:tcPr>
            <w:tcW w:w="5104" w:type="dxa"/>
          </w:tcPr>
          <w:p w14:paraId="6BE015D0"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0EB1B4F1"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EE6F91" w14:paraId="1E52328B" w14:textId="77777777" w:rsidTr="005F50EE">
        <w:tc>
          <w:tcPr>
            <w:tcW w:w="5104" w:type="dxa"/>
          </w:tcPr>
          <w:p w14:paraId="38DEECC7" w14:textId="6578CA3E"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+57</w:t>
            </w:r>
          </w:p>
        </w:tc>
        <w:tc>
          <w:tcPr>
            <w:tcW w:w="5104" w:type="dxa"/>
          </w:tcPr>
          <w:p w14:paraId="5B2E67D5" w14:textId="4D6D4D51"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commentRangeStart w:id="22"/>
            <w:r w:rsidRPr="00EE6F91">
              <w:rPr>
                <w:rFonts w:ascii="Arial" w:hAnsi="Arial" w:cs="Arial"/>
                <w:b/>
                <w:bCs/>
                <w:lang w:val="nl-NL"/>
              </w:rPr>
              <w:t>Art. X</w:t>
            </w:r>
            <w:r>
              <w:rPr>
                <w:rFonts w:ascii="Arial" w:hAnsi="Arial" w:cs="Arial"/>
                <w:b/>
                <w:bCs/>
                <w:lang w:val="nl-NL"/>
              </w:rPr>
              <w:t>+57</w:t>
            </w:r>
            <w:commentRangeEnd w:id="22"/>
            <w:r>
              <w:rPr>
                <w:rStyle w:val="Verwijzingopmerking"/>
              </w:rPr>
              <w:commentReference w:id="22"/>
            </w:r>
          </w:p>
        </w:tc>
      </w:tr>
      <w:tr w:rsidR="00477C89" w:rsidRPr="00EE6F91" w14:paraId="67D9A2FA" w14:textId="77777777" w:rsidTr="005F50EE">
        <w:tc>
          <w:tcPr>
            <w:tcW w:w="5104" w:type="dxa"/>
          </w:tcPr>
          <w:p w14:paraId="5269C201"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E449374" w14:textId="77777777" w:rsidR="00477C89" w:rsidRPr="00EE6F91" w:rsidRDefault="00477C89" w:rsidP="00477C89">
            <w:pPr>
              <w:tabs>
                <w:tab w:val="left" w:pos="4468"/>
                <w:tab w:val="left" w:pos="5643"/>
                <w:tab w:val="left" w:pos="9747"/>
              </w:tabs>
              <w:spacing w:after="0" w:line="240" w:lineRule="auto"/>
              <w:jc w:val="both"/>
              <w:rPr>
                <w:rFonts w:ascii="Arial" w:hAnsi="Arial" w:cs="Arial"/>
                <w:lang w:val="nl-NL"/>
              </w:rPr>
            </w:pPr>
          </w:p>
        </w:tc>
      </w:tr>
      <w:tr w:rsidR="00477C89" w:rsidRPr="008547A0" w14:paraId="7DA28280" w14:textId="77777777" w:rsidTr="005F50EE">
        <w:tc>
          <w:tcPr>
            <w:tcW w:w="5104" w:type="dxa"/>
          </w:tcPr>
          <w:p w14:paraId="234E48DC" w14:textId="55017FF8"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1° L'article 153, §</w:t>
            </w:r>
            <w:r>
              <w:rPr>
                <w:rFonts w:ascii="Arial" w:hAnsi="Arial" w:cs="Arial"/>
                <w:lang w:val="fr-FR"/>
              </w:rPr>
              <w:t xml:space="preserve"> </w:t>
            </w:r>
            <w:r w:rsidRPr="00B75D30">
              <w:rPr>
                <w:rFonts w:ascii="Arial" w:hAnsi="Arial" w:cs="Arial"/>
                <w:lang w:val="fr-FR"/>
              </w:rPr>
              <w:t>2/1</w:t>
            </w:r>
            <w:r>
              <w:rPr>
                <w:rFonts w:ascii="Arial" w:hAnsi="Arial" w:cs="Arial"/>
                <w:lang w:val="fr-FR"/>
              </w:rPr>
              <w:t>,</w:t>
            </w:r>
            <w:r w:rsidRPr="00B75D30">
              <w:rPr>
                <w:rFonts w:ascii="Arial" w:hAnsi="Arial" w:cs="Arial"/>
                <w:lang w:val="fr-FR"/>
              </w:rPr>
              <w:t xml:space="preserve"> de la loi SSI stipule actuellement que les constatations factuelles et médicales faites par les médecins-conseils dans </w:t>
            </w:r>
            <w:r w:rsidRPr="00B75D30">
              <w:rPr>
                <w:rFonts w:ascii="Arial" w:hAnsi="Arial" w:cs="Arial"/>
                <w:lang w:val="fr-FR"/>
              </w:rPr>
              <w:lastRenderedPageBreak/>
              <w:t>l'exercice de leur mission de contrôle ont force probante jusqu'à preuve du contraire. Ces constatations, avec leur valeur probante, peuvent être utilisées par les inspecteurs et les contrôleurs visés aux articles 146  et 162  pour constater des infractions.</w:t>
            </w:r>
          </w:p>
        </w:tc>
        <w:tc>
          <w:tcPr>
            <w:tcW w:w="5104" w:type="dxa"/>
          </w:tcPr>
          <w:p w14:paraId="0D4DD2F4" w14:textId="029DD1EC"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r w:rsidRPr="00B75D30">
              <w:rPr>
                <w:rFonts w:ascii="Arial" w:hAnsi="Arial" w:cs="Arial"/>
                <w:lang w:val="nl-NL"/>
              </w:rPr>
              <w:lastRenderedPageBreak/>
              <w:t>1° Artikel 153, §</w:t>
            </w:r>
            <w:r>
              <w:rPr>
                <w:rFonts w:ascii="Arial" w:hAnsi="Arial" w:cs="Arial"/>
                <w:lang w:val="nl-NL"/>
              </w:rPr>
              <w:t xml:space="preserve"> </w:t>
            </w:r>
            <w:r w:rsidRPr="00B75D30">
              <w:rPr>
                <w:rFonts w:ascii="Arial" w:hAnsi="Arial" w:cs="Arial"/>
                <w:lang w:val="nl-NL"/>
              </w:rPr>
              <w:t>2/1</w:t>
            </w:r>
            <w:r>
              <w:rPr>
                <w:rFonts w:ascii="Arial" w:hAnsi="Arial" w:cs="Arial"/>
                <w:lang w:val="nl-NL"/>
              </w:rPr>
              <w:t>,</w:t>
            </w:r>
            <w:r w:rsidRPr="00B75D30">
              <w:rPr>
                <w:rFonts w:ascii="Arial" w:hAnsi="Arial" w:cs="Arial"/>
                <w:lang w:val="nl-NL"/>
              </w:rPr>
              <w:t xml:space="preserve"> van de GVU-wet bepaalt momenteel dat de feitelijke en medische vaststellingen die de adviserend artsen tijdens de </w:t>
            </w:r>
            <w:r w:rsidRPr="00B75D30">
              <w:rPr>
                <w:rFonts w:ascii="Arial" w:hAnsi="Arial" w:cs="Arial"/>
                <w:lang w:val="nl-NL"/>
              </w:rPr>
              <w:lastRenderedPageBreak/>
              <w:t>uitoefening van hun controletaken verrichten, bewijskracht hebben tot bewijs van het tegendeel. Deze vaststellingen mogen, met hun bewijswaarde, worden gebruikt door de inspecteurs en controleurs bedoeld in de artikelen 146 en 162 met het oog op de vaststellingen van inbreuken.</w:t>
            </w:r>
          </w:p>
        </w:tc>
      </w:tr>
      <w:tr w:rsidR="00477C89" w:rsidRPr="008547A0" w14:paraId="42D1C89B" w14:textId="77777777" w:rsidTr="005F50EE">
        <w:tc>
          <w:tcPr>
            <w:tcW w:w="5104" w:type="dxa"/>
          </w:tcPr>
          <w:p w14:paraId="26DC6AE3"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0FD5C7B"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6DEAD272" w14:textId="77777777" w:rsidTr="005F50EE">
        <w:tc>
          <w:tcPr>
            <w:tcW w:w="5104" w:type="dxa"/>
          </w:tcPr>
          <w:p w14:paraId="0509A7C5" w14:textId="1F41440B"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 xml:space="preserve">Il y a actuellement une pénurie de médecins -conseil, d'une part, et des missions supplémentaires ont été confiées aux médecins -conseil, d'autre part. </w:t>
            </w:r>
          </w:p>
        </w:tc>
        <w:tc>
          <w:tcPr>
            <w:tcW w:w="5104" w:type="dxa"/>
          </w:tcPr>
          <w:p w14:paraId="5E75F2A7" w14:textId="7B8B04BA" w:rsidR="00477C89" w:rsidRPr="0090313C" w:rsidRDefault="00477C89" w:rsidP="00477C89">
            <w:pPr>
              <w:tabs>
                <w:tab w:val="left" w:pos="4468"/>
                <w:tab w:val="left" w:pos="5643"/>
                <w:tab w:val="left" w:pos="9747"/>
              </w:tabs>
              <w:spacing w:after="0" w:line="240" w:lineRule="auto"/>
              <w:jc w:val="both"/>
              <w:rPr>
                <w:rFonts w:ascii="Arial" w:hAnsi="Arial" w:cs="Arial"/>
                <w:lang w:val="nl-NL"/>
              </w:rPr>
            </w:pPr>
            <w:r w:rsidRPr="00B75D30">
              <w:rPr>
                <w:rFonts w:ascii="Arial" w:hAnsi="Arial" w:cs="Arial"/>
                <w:lang w:val="nl-NL"/>
              </w:rPr>
              <w:t xml:space="preserve">Er is momenteel enerzijds een gebrek aan adviserend artsen, anderzijds werden er bijkomende opdrachten aan de adviserend artsen toegekend. </w:t>
            </w:r>
          </w:p>
        </w:tc>
      </w:tr>
      <w:tr w:rsidR="00477C89" w:rsidRPr="008547A0" w14:paraId="48B7F5A2" w14:textId="77777777" w:rsidTr="005F50EE">
        <w:tc>
          <w:tcPr>
            <w:tcW w:w="5104" w:type="dxa"/>
          </w:tcPr>
          <w:p w14:paraId="64986130"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4D55F5B"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706BFF50" w14:textId="77777777" w:rsidTr="005F50EE">
        <w:tc>
          <w:tcPr>
            <w:tcW w:w="5104" w:type="dxa"/>
          </w:tcPr>
          <w:p w14:paraId="2D868CE3" w14:textId="5DB1E01B"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Afin de mener à bien toutes ces missions, conformément à l'article 153, §</w:t>
            </w:r>
            <w:r>
              <w:rPr>
                <w:rFonts w:ascii="Arial" w:hAnsi="Arial" w:cs="Arial"/>
                <w:lang w:val="fr-FR"/>
              </w:rPr>
              <w:t xml:space="preserve"> </w:t>
            </w:r>
            <w:r w:rsidRPr="00B75D30">
              <w:rPr>
                <w:rFonts w:ascii="Arial" w:hAnsi="Arial" w:cs="Arial"/>
                <w:lang w:val="fr-FR"/>
              </w:rPr>
              <w:t>4</w:t>
            </w:r>
            <w:r>
              <w:rPr>
                <w:rFonts w:ascii="Arial" w:hAnsi="Arial" w:cs="Arial"/>
                <w:lang w:val="fr-FR"/>
              </w:rPr>
              <w:t>,</w:t>
            </w:r>
            <w:r w:rsidRPr="00B75D30">
              <w:rPr>
                <w:rFonts w:ascii="Arial" w:hAnsi="Arial" w:cs="Arial"/>
                <w:lang w:val="fr-FR"/>
              </w:rPr>
              <w:t xml:space="preserve"> de la loi SSI, certaines missions, déterminées par le Comité du SECM, peuvent être déléguées à des auxiliaires kinésithérapeutes, infirmiers et paramédicaux.</w:t>
            </w:r>
          </w:p>
          <w:p w14:paraId="54571DF1"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2D249B71" w14:textId="0BEF4F3E"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r w:rsidRPr="00B75D30">
              <w:rPr>
                <w:rFonts w:ascii="Arial" w:hAnsi="Arial" w:cs="Arial"/>
                <w:lang w:val="nl-NL"/>
              </w:rPr>
              <w:t>Teneinde al deze opdrachten uit te voeren, kunnen overeenkomstig art. 153, § 4 van de GVU-wet een aantal opdrachten, bepaald door het Comité van de DGEC, gedelegeerd worden aan kinesitherapeuten, verpleegkundigen en paramedische medewerkers.</w:t>
            </w:r>
          </w:p>
        </w:tc>
      </w:tr>
      <w:tr w:rsidR="00477C89" w:rsidRPr="008547A0" w14:paraId="221ED05D" w14:textId="77777777" w:rsidTr="005F50EE">
        <w:tc>
          <w:tcPr>
            <w:tcW w:w="5104" w:type="dxa"/>
          </w:tcPr>
          <w:p w14:paraId="7A2E81EA"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653AF6E6"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713669CA" w14:textId="77777777" w:rsidTr="005F50EE">
        <w:tc>
          <w:tcPr>
            <w:tcW w:w="5104" w:type="dxa"/>
          </w:tcPr>
          <w:p w14:paraId="7B8B9A05"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Il est nécessaire de prévoir que non seulement les constatations des médecins-conseil, mais aussi celles des auxiliaires kinésithérapeutes, infirmiers et paramédicaux peuvent être utilisées par les inspecteurs et les contrôleurs visés aux articles 146 et 162 en vue de constater des infractions.</w:t>
            </w:r>
          </w:p>
          <w:p w14:paraId="132C4E77"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25CAD411" w14:textId="76BFB26B"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r w:rsidRPr="00B75D30">
              <w:rPr>
                <w:rFonts w:ascii="Arial" w:hAnsi="Arial" w:cs="Arial"/>
                <w:lang w:val="nl-NL"/>
              </w:rPr>
              <w:t>Het is nodig dat voorzien wordt dat niet alleen de vaststellingen van de adviserend artsen, maar ook deze van kinesitherapeuten, verpleegkundigen en paramedische medewerkers zouden kunnen gebruikt door de inspecteurs en controleurs bedoeld in de artikelen 146 en 162 met het oog op de vaststellingen van inbreuken.</w:t>
            </w:r>
          </w:p>
        </w:tc>
      </w:tr>
      <w:tr w:rsidR="00477C89" w:rsidRPr="008547A0" w14:paraId="167A5CF2" w14:textId="77777777" w:rsidTr="005F50EE">
        <w:tc>
          <w:tcPr>
            <w:tcW w:w="5104" w:type="dxa"/>
          </w:tcPr>
          <w:p w14:paraId="4F854D83"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7FB806B"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8547A0" w14:paraId="49BD398B" w14:textId="77777777" w:rsidTr="005F50EE">
        <w:tc>
          <w:tcPr>
            <w:tcW w:w="5104" w:type="dxa"/>
          </w:tcPr>
          <w:p w14:paraId="6F4C5BBF" w14:textId="0BE08454"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B75D30">
              <w:rPr>
                <w:rFonts w:ascii="Arial" w:hAnsi="Arial" w:cs="Arial"/>
                <w:lang w:val="fr-FR"/>
              </w:rPr>
              <w:t>Cela va dans le sens d'une coopération plus poussée et plus étroite entre les organismes assureurs, le SECM et les organes établis au sein du SECM, tels que le Collège national des médecins-conseils et le Conseil supérieur des médecins-directeurs. Cela devrait permettre de promouvoir une approche organisée dans le cadre du contrôle médical ou de projets d'évaluation.</w:t>
            </w:r>
          </w:p>
        </w:tc>
        <w:tc>
          <w:tcPr>
            <w:tcW w:w="5104" w:type="dxa"/>
          </w:tcPr>
          <w:p w14:paraId="5F689231" w14:textId="563D61DF" w:rsidR="00477C89" w:rsidRPr="00B75D30" w:rsidRDefault="00477C89" w:rsidP="00477C89">
            <w:pPr>
              <w:tabs>
                <w:tab w:val="left" w:pos="2925"/>
              </w:tabs>
              <w:spacing w:after="0" w:line="240" w:lineRule="auto"/>
              <w:jc w:val="both"/>
              <w:rPr>
                <w:rFonts w:ascii="Arial" w:hAnsi="Arial" w:cs="Arial"/>
                <w:lang w:val="nl-NL"/>
              </w:rPr>
            </w:pPr>
            <w:r w:rsidRPr="00B75D30">
              <w:rPr>
                <w:rFonts w:ascii="Arial" w:hAnsi="Arial" w:cs="Arial"/>
                <w:lang w:val="nl-NL"/>
              </w:rPr>
              <w:t>Dat kadert in een verdere en nauwere samenwerking tussen de verzekeringsinstellingen, de DGEC en de organen ingesteld binnen de DGEC, zoals het Nationaal college van adviserend-artsen en de Hoge raad van artsen-directeurs. Dit moet leiden tot de bevordering van een georganiseerde aanpak in de medische controle- of evaluatieproje</w:t>
            </w:r>
            <w:r>
              <w:rPr>
                <w:rFonts w:ascii="Arial" w:hAnsi="Arial" w:cs="Arial"/>
                <w:lang w:val="nl-NL"/>
              </w:rPr>
              <w:t>c</w:t>
            </w:r>
            <w:r w:rsidRPr="00B75D30">
              <w:rPr>
                <w:rFonts w:ascii="Arial" w:hAnsi="Arial" w:cs="Arial"/>
                <w:lang w:val="nl-NL"/>
              </w:rPr>
              <w:t>ten.</w:t>
            </w:r>
          </w:p>
        </w:tc>
      </w:tr>
      <w:tr w:rsidR="00477C89" w:rsidRPr="008547A0" w14:paraId="194AC034" w14:textId="77777777" w:rsidTr="005F50EE">
        <w:tc>
          <w:tcPr>
            <w:tcW w:w="5104" w:type="dxa"/>
          </w:tcPr>
          <w:p w14:paraId="7B5557DE" w14:textId="77777777" w:rsidR="00477C89" w:rsidRPr="00B75D30"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418DFB4" w14:textId="77777777" w:rsidR="00477C89" w:rsidRPr="00B75D30" w:rsidRDefault="00477C89" w:rsidP="00477C89">
            <w:pPr>
              <w:tabs>
                <w:tab w:val="left" w:pos="2925"/>
              </w:tabs>
              <w:spacing w:after="0" w:line="240" w:lineRule="auto"/>
              <w:jc w:val="both"/>
              <w:rPr>
                <w:rFonts w:ascii="Arial" w:hAnsi="Arial" w:cs="Arial"/>
                <w:lang w:val="nl-NL"/>
              </w:rPr>
            </w:pPr>
          </w:p>
        </w:tc>
      </w:tr>
      <w:tr w:rsidR="00477C89" w:rsidRPr="009812E7" w14:paraId="58FE6723" w14:textId="77777777" w:rsidTr="005F50EE">
        <w:tc>
          <w:tcPr>
            <w:tcW w:w="5104" w:type="dxa"/>
          </w:tcPr>
          <w:p w14:paraId="1464152A" w14:textId="6122EEBF"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90313C">
              <w:rPr>
                <w:rFonts w:ascii="Arial" w:hAnsi="Arial" w:cs="Arial"/>
                <w:lang w:val="fr-FR"/>
              </w:rPr>
              <w:t>2° Jusqu'à présent, la compétence de contrôle du Collège national des médecins conseils (CNMC) était limitée. Cette compétence est désormais étendue à l'ensemble des prestations de santé visées à l'article 34 de la loi SSI</w:t>
            </w:r>
            <w:r>
              <w:rPr>
                <w:rFonts w:ascii="Arial" w:hAnsi="Arial" w:cs="Arial"/>
                <w:lang w:val="fr-FR"/>
              </w:rPr>
              <w:t xml:space="preserve"> et au suivi des missions des médecins-conseils</w:t>
            </w:r>
            <w:r w:rsidRPr="0090313C">
              <w:rPr>
                <w:rFonts w:ascii="Arial" w:hAnsi="Arial" w:cs="Arial"/>
                <w:lang w:val="fr-FR"/>
              </w:rPr>
              <w:t>. D'une part, cette extension est une conséquence logique du transfert du CNMC du Service des soins de santé  de l'INAMI (SDS) au Service d’évaluation et de contrôle médicaux de l'INAMI (SECM). D'autre part, l'extension de la compétence du CNMC est également plus conforme à la compétence du médecin-conseil lui-même telle que définie à l'article 153, § 1</w:t>
            </w:r>
            <w:r w:rsidRPr="0090313C">
              <w:rPr>
                <w:rFonts w:ascii="Arial" w:hAnsi="Arial" w:cs="Arial"/>
                <w:vertAlign w:val="superscript"/>
                <w:lang w:val="fr-FR"/>
              </w:rPr>
              <w:t>er</w:t>
            </w:r>
            <w:r w:rsidRPr="0090313C">
              <w:rPr>
                <w:rFonts w:ascii="Arial" w:hAnsi="Arial" w:cs="Arial"/>
                <w:lang w:val="fr-FR"/>
              </w:rPr>
              <w:t>, alinéa 1</w:t>
            </w:r>
            <w:r w:rsidRPr="0090313C">
              <w:rPr>
                <w:rFonts w:ascii="Arial" w:hAnsi="Arial" w:cs="Arial"/>
                <w:vertAlign w:val="superscript"/>
                <w:lang w:val="fr-FR"/>
              </w:rPr>
              <w:t>er</w:t>
            </w:r>
            <w:r w:rsidRPr="0090313C">
              <w:rPr>
                <w:rFonts w:ascii="Arial" w:hAnsi="Arial" w:cs="Arial"/>
                <w:lang w:val="fr-FR"/>
              </w:rPr>
              <w:t xml:space="preserve">, de la loi SSI. Le </w:t>
            </w:r>
            <w:r w:rsidRPr="0090313C">
              <w:rPr>
                <w:rFonts w:ascii="Arial" w:hAnsi="Arial" w:cs="Arial"/>
                <w:lang w:val="fr-FR"/>
              </w:rPr>
              <w:lastRenderedPageBreak/>
              <w:t xml:space="preserve">contrôle des prestations de santé est également formulé de manière large dans ce paragraphe. </w:t>
            </w:r>
            <w:r w:rsidRPr="006413FD">
              <w:rPr>
                <w:rFonts w:ascii="Arial" w:hAnsi="Arial" w:cs="Arial"/>
                <w:lang w:val="fr-FR"/>
              </w:rPr>
              <w:t>En rendant le CNMC compétent pour le suivi des missions des médecins-conseils telles qu’elles sont définies dans le premier paragraphe de l’article, il y a un lien clair entre la mission du médecin-conseil et celle du collège national. Cela aussi pour le contrôle de l’incapacité de travail par exemple.</w:t>
            </w:r>
          </w:p>
          <w:p w14:paraId="63BC4D20" w14:textId="79D25099"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49E7B458" w14:textId="2B911709" w:rsidR="00477C89" w:rsidRPr="0090313C" w:rsidRDefault="00477C89" w:rsidP="00477C89">
            <w:pPr>
              <w:tabs>
                <w:tab w:val="left" w:pos="2925"/>
              </w:tabs>
              <w:spacing w:after="0" w:line="240" w:lineRule="auto"/>
              <w:jc w:val="both"/>
              <w:rPr>
                <w:rFonts w:ascii="Arial" w:hAnsi="Arial" w:cs="Arial"/>
                <w:lang w:val="nl-NL"/>
              </w:rPr>
            </w:pPr>
            <w:r w:rsidRPr="0090313C">
              <w:rPr>
                <w:rFonts w:ascii="Arial" w:hAnsi="Arial" w:cs="Arial"/>
                <w:lang w:val="nl-NL"/>
              </w:rPr>
              <w:lastRenderedPageBreak/>
              <w:t>2° De controlebevoegdheid van het Nationaal College van adviserend-artsen (NCAA) was tot nu toe beperkt omschreven. Die bevoegdheid wordt nu uitgebreid naar alle geneeskundige verstrekkingen omschreven in artikel 34 van de GVU-wet</w:t>
            </w:r>
            <w:r w:rsidRPr="006413FD">
              <w:rPr>
                <w:lang w:val="nl-NL"/>
              </w:rPr>
              <w:t xml:space="preserve"> </w:t>
            </w:r>
            <w:r w:rsidRPr="006413FD">
              <w:rPr>
                <w:rFonts w:ascii="Arial" w:hAnsi="Arial" w:cs="Arial"/>
                <w:lang w:val="nl-NL"/>
              </w:rPr>
              <w:t>en de opvolging van de opdrachten toegewezen aan de adviserend artsen</w:t>
            </w:r>
            <w:r w:rsidRPr="0090313C">
              <w:rPr>
                <w:rFonts w:ascii="Arial" w:hAnsi="Arial" w:cs="Arial"/>
                <w:lang w:val="nl-NL"/>
              </w:rPr>
              <w:t xml:space="preserve">. Die uitbreiding is enerzijds een logisch gevolg van de overdracht van het NCAA van de Dienst voor geneeskundige verzorging (DGV) van het RIZIV naar de Dienst voor geneeskundige evaluatie en controle (DGEC) van het RIZIV. Anderzijds sluit de uitbreiding van de bevoegdheid van het NCAA ook beter aan bij de bevoegdheid van de adviserend </w:t>
            </w:r>
            <w:r w:rsidRPr="0090313C">
              <w:rPr>
                <w:rFonts w:ascii="Arial" w:hAnsi="Arial" w:cs="Arial"/>
                <w:lang w:val="nl-NL"/>
              </w:rPr>
              <w:lastRenderedPageBreak/>
              <w:t xml:space="preserve">arts zelf zoals omschreven in artikel 153, § 1, eerste lid, van de GVU-wet. De controle van de geneeskundige verstrekkingen is in die paragraaf ook ruim geformuleerd. </w:t>
            </w:r>
            <w:r w:rsidRPr="006413FD">
              <w:rPr>
                <w:rFonts w:ascii="Arial" w:hAnsi="Arial" w:cs="Arial"/>
                <w:lang w:val="nl-NL"/>
              </w:rPr>
              <w:t>Door het NCAA bevoegd te maken voor de opvolging van de opdrachten van de adviserend artsen zoals ze omschreven worden in de eerste paragraaf van het artikel, is er een duidelijke link tussen de opdracht van de adviserend arts en die van het nationaal college. Dat ook bijvoorbeeld wat betreft de controle arbeidsongeschiktheid.</w:t>
            </w:r>
          </w:p>
        </w:tc>
      </w:tr>
      <w:tr w:rsidR="00477C89" w:rsidRPr="009812E7" w14:paraId="69043698" w14:textId="77777777" w:rsidTr="005F50EE">
        <w:tc>
          <w:tcPr>
            <w:tcW w:w="5104" w:type="dxa"/>
          </w:tcPr>
          <w:p w14:paraId="32C79B62"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EA0C722"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4C3823B7" w14:textId="77777777" w:rsidTr="005F50EE">
        <w:tc>
          <w:tcPr>
            <w:tcW w:w="5104" w:type="dxa"/>
          </w:tcPr>
          <w:p w14:paraId="638C122B"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90313C">
              <w:rPr>
                <w:rFonts w:ascii="Arial" w:hAnsi="Arial" w:cs="Arial"/>
                <w:lang w:val="fr-FR"/>
              </w:rPr>
              <w:t xml:space="preserve">Il est précisé que le Roi peut définir le type de missions. Il est aussi ajouté dans la loi SSI elle-même qui peut donner des missions au CNMC. </w:t>
            </w:r>
          </w:p>
          <w:p w14:paraId="61AF5DDA"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FB05EF8" w14:textId="505E4C54" w:rsidR="00477C89" w:rsidRPr="0090313C" w:rsidRDefault="00477C89" w:rsidP="00477C89">
            <w:pPr>
              <w:tabs>
                <w:tab w:val="left" w:pos="2925"/>
              </w:tabs>
              <w:spacing w:after="0" w:line="240" w:lineRule="auto"/>
              <w:jc w:val="both"/>
              <w:rPr>
                <w:rFonts w:ascii="Arial" w:hAnsi="Arial" w:cs="Arial"/>
                <w:lang w:val="nl-NL"/>
              </w:rPr>
            </w:pPr>
            <w:r w:rsidRPr="0090313C">
              <w:rPr>
                <w:rFonts w:ascii="Arial" w:hAnsi="Arial" w:cs="Arial"/>
                <w:lang w:val="nl-NL"/>
              </w:rPr>
              <w:t xml:space="preserve">Er wordt verduidelijkt dat de Koning het soort opdrachten kan omschrijven. In de GVU-wet zelf wordt ook toegevoegd wie er opdrachten kan geven aan het NCAA. </w:t>
            </w:r>
          </w:p>
        </w:tc>
      </w:tr>
      <w:tr w:rsidR="00477C89" w:rsidRPr="008547A0" w14:paraId="6647C470" w14:textId="77777777" w:rsidTr="005F50EE">
        <w:tc>
          <w:tcPr>
            <w:tcW w:w="5104" w:type="dxa"/>
          </w:tcPr>
          <w:p w14:paraId="20BEF23B"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85F979A"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4D9FA823" w14:textId="77777777" w:rsidTr="005F50EE">
        <w:tc>
          <w:tcPr>
            <w:tcW w:w="5104" w:type="dxa"/>
          </w:tcPr>
          <w:p w14:paraId="4792DBA2" w14:textId="54AA4BA7"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90313C">
              <w:rPr>
                <w:rFonts w:ascii="Arial" w:hAnsi="Arial" w:cs="Arial"/>
                <w:lang w:val="fr-FR"/>
              </w:rPr>
              <w:t>Étant donné que le Comité du SECM est habilité, en vertu de l'article 141, § 1</w:t>
            </w:r>
            <w:r w:rsidRPr="0090313C">
              <w:rPr>
                <w:rFonts w:ascii="Arial" w:hAnsi="Arial" w:cs="Arial"/>
                <w:vertAlign w:val="superscript"/>
                <w:lang w:val="fr-FR"/>
              </w:rPr>
              <w:t>er</w:t>
            </w:r>
            <w:r w:rsidRPr="0090313C">
              <w:rPr>
                <w:rFonts w:ascii="Arial" w:hAnsi="Arial" w:cs="Arial"/>
                <w:lang w:val="fr-FR"/>
              </w:rPr>
              <w:t>, alinéa 1</w:t>
            </w:r>
            <w:r w:rsidRPr="0090313C">
              <w:rPr>
                <w:rFonts w:ascii="Arial" w:hAnsi="Arial" w:cs="Arial"/>
                <w:vertAlign w:val="superscript"/>
                <w:lang w:val="fr-FR"/>
              </w:rPr>
              <w:t>er</w:t>
            </w:r>
            <w:r w:rsidRPr="0090313C">
              <w:rPr>
                <w:rFonts w:ascii="Arial" w:hAnsi="Arial" w:cs="Arial"/>
                <w:lang w:val="fr-FR"/>
              </w:rPr>
              <w:t>, 2°, de la loi SSI, à établir les normes et les directives en vue de l'organisation du contrôle médical, il est logique que le Comité puisse donner une mission au CNMC. Ce pouvoir est également confié au fonctionnaire-dirigeant du SECM puisqu'il relève des compétences du SECM prévues à l'article 139, alinéa 4, de la loi SSI. L'article 146, § 2, de la loi SSI prévoit que le ministre peut donner une mission au SECM. Dans la même logique, le ministre peut également confier une mission au CNMC. Le Conseil supérieur des médecins-directeurs (CSMD) est établi conformément à l’article 153, §</w:t>
            </w:r>
            <w:r>
              <w:rPr>
                <w:rFonts w:ascii="Arial" w:hAnsi="Arial" w:cs="Arial"/>
                <w:lang w:val="fr-FR"/>
              </w:rPr>
              <w:t> </w:t>
            </w:r>
            <w:r w:rsidRPr="0090313C">
              <w:rPr>
                <w:rFonts w:ascii="Arial" w:hAnsi="Arial" w:cs="Arial"/>
                <w:lang w:val="fr-FR"/>
              </w:rPr>
              <w:t>5, alinéa 1</w:t>
            </w:r>
            <w:r w:rsidRPr="0090313C">
              <w:rPr>
                <w:rFonts w:ascii="Arial" w:hAnsi="Arial" w:cs="Arial"/>
                <w:vertAlign w:val="superscript"/>
                <w:lang w:val="fr-FR"/>
              </w:rPr>
              <w:t>er</w:t>
            </w:r>
            <w:r w:rsidRPr="0090313C">
              <w:rPr>
                <w:rFonts w:ascii="Arial" w:hAnsi="Arial" w:cs="Arial"/>
                <w:lang w:val="fr-FR"/>
              </w:rPr>
              <w:t>, de la loi SSI auprès du SECM. Il est notamment chargé de rechercher et de promouvoir une approche concertée dans les missions médicales de contrôle ou d'évaluation, tant entre  les organismes assureurs qu’en complémentarité  du SECM. Dans le cadre de cette compétence, il est logique qu'il puisse également donner une mission au CNMC.</w:t>
            </w:r>
          </w:p>
          <w:p w14:paraId="05A85BD8" w14:textId="77777777" w:rsidR="00477C89" w:rsidRPr="00C51760"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26D828BD" w14:textId="4CA31A97" w:rsidR="00477C89" w:rsidRPr="0090313C" w:rsidRDefault="00477C89" w:rsidP="00477C89">
            <w:pPr>
              <w:tabs>
                <w:tab w:val="left" w:pos="2925"/>
              </w:tabs>
              <w:spacing w:after="0" w:line="240" w:lineRule="auto"/>
              <w:jc w:val="both"/>
              <w:rPr>
                <w:rFonts w:ascii="Arial" w:hAnsi="Arial" w:cs="Arial"/>
                <w:lang w:val="nl-NL"/>
              </w:rPr>
            </w:pPr>
            <w:r w:rsidRPr="0090313C">
              <w:rPr>
                <w:rFonts w:ascii="Arial" w:hAnsi="Arial" w:cs="Arial"/>
                <w:lang w:val="nl-NL"/>
              </w:rPr>
              <w:t xml:space="preserve">Aangezien het Comité van de DGEC overeenkomstig artikel 141, § 1, eerste lid, 2°, van de GVU-wet de bevoegdheid heeft om de normen en richtlijnen vast te stellen met het oog op de organisatie van de geneeskundige controle, is het logisch dat het Comité een opdracht zou kunnen geven aan het NCAA. Die bevoegdheid komt eveneens toe aan de Leidend ambtenaar van de DGEC aangezien dat valt onder de bevoegdheden van de DGEC zoals voorzien in artikel 139, vierde lid, van de GVU-wet. Artikel 146, § 2, van de GVU-wet voorziet dat de minister een opdracht zou kunnen geven aan de DGEC. Binnen diezelfde logica kan de minister ook een opdracht geven aan het NCAA. De Hoge raad van artsen-directeurs (HRAD) wordt overeenkomstig artikel 153, § 5, eerste lid, van de GVU-wet ingesteld bij de DGEC. Zij zijn onder andere belast met het zoeken naar en bevorderen van een georganiseerde aanpak in de medische controle- of evaluatieopdrachten, zowel tussen verzekeringsinstellingen, als ter aanvulling van de DGEC. Binnen die bevoegdheid is het logisch dat zij ook een opdracht zouden kunnen geven aan het NCAA. </w:t>
            </w:r>
          </w:p>
        </w:tc>
      </w:tr>
      <w:tr w:rsidR="00477C89" w:rsidRPr="008547A0" w14:paraId="1767196C" w14:textId="77777777" w:rsidTr="005F50EE">
        <w:tc>
          <w:tcPr>
            <w:tcW w:w="5104" w:type="dxa"/>
          </w:tcPr>
          <w:p w14:paraId="56E2BA69"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3163E76"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1BB6DE32" w14:textId="77777777" w:rsidTr="005F50EE">
        <w:tc>
          <w:tcPr>
            <w:tcW w:w="5104" w:type="dxa"/>
          </w:tcPr>
          <w:p w14:paraId="417DBA22" w14:textId="146AF120"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90313C">
              <w:rPr>
                <w:rFonts w:ascii="Arial" w:hAnsi="Arial" w:cs="Arial"/>
                <w:lang w:val="fr-FR"/>
              </w:rPr>
              <w:t>Il va de soi que le CNMC peut également agir d'office sans être explicitement chargé de le faire par les organes ou personnes susmentionnés.</w:t>
            </w:r>
          </w:p>
        </w:tc>
        <w:tc>
          <w:tcPr>
            <w:tcW w:w="5104" w:type="dxa"/>
          </w:tcPr>
          <w:p w14:paraId="0F5A713D" w14:textId="4C951E2E" w:rsidR="00477C89" w:rsidRPr="0090313C" w:rsidRDefault="00477C89" w:rsidP="00477C89">
            <w:pPr>
              <w:tabs>
                <w:tab w:val="left" w:pos="2925"/>
              </w:tabs>
              <w:spacing w:after="0" w:line="240" w:lineRule="auto"/>
              <w:jc w:val="both"/>
              <w:rPr>
                <w:rFonts w:ascii="Arial" w:hAnsi="Arial" w:cs="Arial"/>
                <w:lang w:val="nl-NL"/>
              </w:rPr>
            </w:pPr>
            <w:r w:rsidRPr="0090313C">
              <w:rPr>
                <w:rFonts w:ascii="Arial" w:hAnsi="Arial" w:cs="Arial"/>
                <w:lang w:val="nl-NL"/>
              </w:rPr>
              <w:t>Het spreekt voor zich dat het NCAA ook ambtshalve kan handelen zonder dat zij daartoe een expliciete opdracht zou krijgen van de hierboven genoemde organen of personen.</w:t>
            </w:r>
          </w:p>
        </w:tc>
      </w:tr>
      <w:tr w:rsidR="00477C89" w:rsidRPr="008547A0" w14:paraId="3ECC2589" w14:textId="77777777" w:rsidTr="005F50EE">
        <w:tc>
          <w:tcPr>
            <w:tcW w:w="5104" w:type="dxa"/>
          </w:tcPr>
          <w:p w14:paraId="3833EC96" w14:textId="77777777" w:rsidR="00477C89" w:rsidRPr="00DF79CA"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B080C49"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7C10788B" w14:textId="77777777" w:rsidTr="005F50EE">
        <w:tc>
          <w:tcPr>
            <w:tcW w:w="5104" w:type="dxa"/>
          </w:tcPr>
          <w:p w14:paraId="1CF0CD09" w14:textId="1C29E685" w:rsidR="00477C89" w:rsidRPr="00DF4489" w:rsidRDefault="00477C89" w:rsidP="00477C89">
            <w:pPr>
              <w:spacing w:after="0" w:line="240" w:lineRule="auto"/>
              <w:jc w:val="center"/>
              <w:outlineLvl w:val="0"/>
              <w:rPr>
                <w:rFonts w:ascii="Arial" w:eastAsia="Times New Roman" w:hAnsi="Arial" w:cs="Arial"/>
                <w:b/>
                <w:i/>
                <w:lang w:val="fr-FR"/>
              </w:rPr>
            </w:pPr>
            <w:bookmarkStart w:id="23" w:name="_Hlk203731127"/>
            <w:commentRangeStart w:id="24"/>
            <w:r w:rsidRPr="00DF4489">
              <w:rPr>
                <w:rFonts w:ascii="Arial" w:eastAsia="Times New Roman" w:hAnsi="Arial" w:cs="Arial"/>
                <w:b/>
                <w:i/>
                <w:lang w:val="fr-FR"/>
              </w:rPr>
              <w:t xml:space="preserve">Section </w:t>
            </w:r>
            <w:r>
              <w:rPr>
                <w:rFonts w:ascii="Arial" w:eastAsia="Times New Roman" w:hAnsi="Arial" w:cs="Arial"/>
                <w:b/>
                <w:i/>
                <w:lang w:val="fr-FR"/>
              </w:rPr>
              <w:t>X+11</w:t>
            </w:r>
            <w:r w:rsidRPr="00DF4489">
              <w:rPr>
                <w:rFonts w:ascii="Arial" w:eastAsia="Times New Roman" w:hAnsi="Arial" w:cs="Arial"/>
                <w:b/>
                <w:i/>
                <w:lang w:val="fr-FR"/>
              </w:rPr>
              <w:t xml:space="preserve"> – </w:t>
            </w:r>
            <w:r>
              <w:rPr>
                <w:rFonts w:ascii="Arial" w:eastAsia="Times New Roman" w:hAnsi="Arial" w:cs="Arial"/>
                <w:b/>
                <w:i/>
                <w:lang w:val="fr-FR"/>
              </w:rPr>
              <w:t>Responsabilisation financière des organismes assureurs</w:t>
            </w:r>
            <w:commentRangeEnd w:id="24"/>
            <w:r>
              <w:rPr>
                <w:rStyle w:val="Verwijzingopmerking"/>
              </w:rPr>
              <w:commentReference w:id="24"/>
            </w:r>
          </w:p>
        </w:tc>
        <w:tc>
          <w:tcPr>
            <w:tcW w:w="5104" w:type="dxa"/>
          </w:tcPr>
          <w:p w14:paraId="5CF69DCC" w14:textId="2CF64370" w:rsidR="00477C89" w:rsidRPr="00843F31" w:rsidRDefault="00477C89" w:rsidP="00477C89">
            <w:pPr>
              <w:spacing w:after="0" w:line="240" w:lineRule="auto"/>
              <w:jc w:val="center"/>
              <w:outlineLvl w:val="0"/>
              <w:rPr>
                <w:rFonts w:ascii="Arial" w:eastAsia="Times New Roman" w:hAnsi="Arial" w:cs="Arial"/>
                <w:i/>
                <w:lang w:val="nl-NL"/>
              </w:rPr>
            </w:pPr>
            <w:r w:rsidRPr="00DF4489">
              <w:rPr>
                <w:rFonts w:ascii="Arial" w:eastAsia="Times New Roman" w:hAnsi="Arial" w:cs="Arial"/>
                <w:b/>
                <w:i/>
                <w:lang w:val="nl-BE"/>
              </w:rPr>
              <w:t xml:space="preserve">Afdeling </w:t>
            </w:r>
            <w:r>
              <w:rPr>
                <w:rFonts w:ascii="Arial" w:eastAsia="Times New Roman" w:hAnsi="Arial" w:cs="Arial"/>
                <w:b/>
                <w:i/>
                <w:lang w:val="nl-BE"/>
              </w:rPr>
              <w:t>X+11</w:t>
            </w:r>
            <w:r w:rsidRPr="00DF4489">
              <w:rPr>
                <w:rFonts w:ascii="Arial" w:eastAsia="Times New Roman" w:hAnsi="Arial" w:cs="Arial"/>
                <w:b/>
                <w:i/>
                <w:lang w:val="nl-BE"/>
              </w:rPr>
              <w:t xml:space="preserve"> – </w:t>
            </w:r>
            <w:r w:rsidRPr="0096376B">
              <w:rPr>
                <w:rFonts w:ascii="Arial" w:eastAsia="Times New Roman" w:hAnsi="Arial" w:cs="Arial"/>
                <w:b/>
                <w:i/>
                <w:lang w:val="nl-BE"/>
              </w:rPr>
              <w:t>Financiële Responsabilisering van de verzekeringsinstellingen</w:t>
            </w:r>
          </w:p>
        </w:tc>
      </w:tr>
      <w:tr w:rsidR="00477C89" w:rsidRPr="008547A0" w14:paraId="7ADA74F4" w14:textId="77777777" w:rsidTr="005F50EE">
        <w:tc>
          <w:tcPr>
            <w:tcW w:w="5104" w:type="dxa"/>
          </w:tcPr>
          <w:p w14:paraId="33B4DCAD"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C82A400"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EE6F91" w14:paraId="0460109C" w14:textId="77777777" w:rsidTr="005F50EE">
        <w:tc>
          <w:tcPr>
            <w:tcW w:w="5104" w:type="dxa"/>
          </w:tcPr>
          <w:p w14:paraId="6DB4F828" w14:textId="7FF12DAF"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+58</w:t>
            </w:r>
          </w:p>
        </w:tc>
        <w:tc>
          <w:tcPr>
            <w:tcW w:w="5104" w:type="dxa"/>
          </w:tcPr>
          <w:p w14:paraId="52A0F83D" w14:textId="715B4D7C"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+58</w:t>
            </w:r>
          </w:p>
        </w:tc>
      </w:tr>
      <w:tr w:rsidR="00477C89" w:rsidRPr="00FE42AD" w14:paraId="229EAD5D" w14:textId="77777777" w:rsidTr="005F50EE">
        <w:tc>
          <w:tcPr>
            <w:tcW w:w="5104" w:type="dxa"/>
          </w:tcPr>
          <w:p w14:paraId="37CAFBEF" w14:textId="77777777"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012FD22D" w14:textId="77777777" w:rsidR="00477C89" w:rsidRPr="0090313C" w:rsidRDefault="00477C89" w:rsidP="00477C89">
            <w:pPr>
              <w:tabs>
                <w:tab w:val="left" w:pos="2925"/>
              </w:tabs>
              <w:spacing w:after="0" w:line="240" w:lineRule="auto"/>
              <w:jc w:val="both"/>
              <w:rPr>
                <w:rFonts w:ascii="Arial" w:hAnsi="Arial" w:cs="Arial"/>
                <w:lang w:val="nl-NL"/>
              </w:rPr>
            </w:pPr>
          </w:p>
        </w:tc>
      </w:tr>
      <w:tr w:rsidR="00477C89" w:rsidRPr="008547A0" w14:paraId="26AF3C95" w14:textId="77777777" w:rsidTr="005F50EE">
        <w:tc>
          <w:tcPr>
            <w:tcW w:w="5104" w:type="dxa"/>
          </w:tcPr>
          <w:p w14:paraId="3E1D83B3" w14:textId="36E35864"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371224">
              <w:rPr>
                <w:rFonts w:ascii="Arial" w:hAnsi="Arial" w:cs="Arial"/>
                <w:lang w:val="fr-FR"/>
              </w:rPr>
              <w:t xml:space="preserve">Dans l’accord de gouvernement 2025-2029, nous lisons que le système des frais d’administration doit être renforcé et notamment être axé sur l’obtention de résultats budgétaires en matière de soins de santé. L’objectif recherché est de maitriser les dépenses dans le secteur des soins de santé en encourageant les organismes assureurs à agir dans cette direction. </w:t>
            </w:r>
          </w:p>
        </w:tc>
        <w:tc>
          <w:tcPr>
            <w:tcW w:w="5104" w:type="dxa"/>
          </w:tcPr>
          <w:p w14:paraId="0D523B07" w14:textId="3A697C29" w:rsidR="00477C89" w:rsidRPr="0096376B" w:rsidRDefault="00477C89" w:rsidP="00477C89">
            <w:pPr>
              <w:tabs>
                <w:tab w:val="left" w:pos="2925"/>
              </w:tabs>
              <w:spacing w:after="0" w:line="240" w:lineRule="auto"/>
              <w:jc w:val="both"/>
              <w:rPr>
                <w:rFonts w:ascii="Arial" w:hAnsi="Arial" w:cs="Arial"/>
                <w:lang w:val="nl-NL"/>
              </w:rPr>
            </w:pPr>
            <w:r w:rsidRPr="0096376B">
              <w:rPr>
                <w:rFonts w:ascii="Arial" w:hAnsi="Arial" w:cs="Arial"/>
                <w:lang w:val="nl-NL"/>
              </w:rPr>
              <w:t>In het regeerakkoord 2025-2029 lezen we dat het systeem van administratiekosten moet worden versterkt en met name gericht moet worden op het behalen van budgettaire resultaten in de sector geneeskundige verzorging. Het doel is om de uitgaven in de sector geneeskundige verzorging te beheersen en de verzekeringsinstellingen aan te moedigen om in die zin te handelen.</w:t>
            </w:r>
          </w:p>
        </w:tc>
      </w:tr>
      <w:tr w:rsidR="00477C89" w:rsidRPr="008547A0" w14:paraId="3EC576B3" w14:textId="77777777" w:rsidTr="005F50EE">
        <w:tc>
          <w:tcPr>
            <w:tcW w:w="5104" w:type="dxa"/>
          </w:tcPr>
          <w:p w14:paraId="4668C366"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C1CFA92" w14:textId="77777777" w:rsidR="00477C89" w:rsidRPr="0096376B" w:rsidRDefault="00477C89" w:rsidP="00477C89">
            <w:pPr>
              <w:tabs>
                <w:tab w:val="left" w:pos="2925"/>
              </w:tabs>
              <w:spacing w:after="0" w:line="240" w:lineRule="auto"/>
              <w:jc w:val="both"/>
              <w:rPr>
                <w:rFonts w:ascii="Arial" w:hAnsi="Arial" w:cs="Arial"/>
                <w:lang w:val="nl-NL"/>
              </w:rPr>
            </w:pPr>
          </w:p>
        </w:tc>
      </w:tr>
      <w:tr w:rsidR="00477C89" w:rsidRPr="008547A0" w14:paraId="39654100" w14:textId="77777777" w:rsidTr="005F50EE">
        <w:tc>
          <w:tcPr>
            <w:tcW w:w="5104" w:type="dxa"/>
          </w:tcPr>
          <w:p w14:paraId="3F4F07FA" w14:textId="6338F8F6"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371224">
              <w:rPr>
                <w:rFonts w:ascii="Arial" w:hAnsi="Arial" w:cs="Arial"/>
                <w:lang w:val="fr-FR"/>
              </w:rPr>
              <w:t>A cet effet, l’article 195</w:t>
            </w:r>
            <w:r>
              <w:rPr>
                <w:rFonts w:ascii="Arial" w:hAnsi="Arial" w:cs="Arial"/>
                <w:lang w:val="fr-FR"/>
              </w:rPr>
              <w:t>,</w:t>
            </w:r>
            <w:r w:rsidRPr="00371224">
              <w:rPr>
                <w:rFonts w:ascii="Arial" w:hAnsi="Arial" w:cs="Arial"/>
                <w:lang w:val="fr-FR"/>
              </w:rPr>
              <w:t xml:space="preserve"> §</w:t>
            </w:r>
            <w:r>
              <w:rPr>
                <w:rFonts w:ascii="Arial" w:hAnsi="Arial" w:cs="Arial"/>
                <w:lang w:val="fr-FR"/>
              </w:rPr>
              <w:t xml:space="preserve"> </w:t>
            </w:r>
            <w:r w:rsidRPr="00371224">
              <w:rPr>
                <w:rFonts w:ascii="Arial" w:hAnsi="Arial" w:cs="Arial"/>
                <w:lang w:val="fr-FR"/>
              </w:rPr>
              <w:t>1</w:t>
            </w:r>
            <w:r w:rsidRPr="00371224">
              <w:rPr>
                <w:rFonts w:ascii="Arial" w:hAnsi="Arial" w:cs="Arial"/>
                <w:vertAlign w:val="superscript"/>
                <w:lang w:val="fr-FR"/>
              </w:rPr>
              <w:t>er</w:t>
            </w:r>
            <w:r w:rsidRPr="00371224">
              <w:rPr>
                <w:rFonts w:ascii="Arial" w:hAnsi="Arial" w:cs="Arial"/>
                <w:lang w:val="fr-FR"/>
              </w:rPr>
              <w:t>, 2°</w:t>
            </w:r>
            <w:r>
              <w:rPr>
                <w:rFonts w:ascii="Arial" w:hAnsi="Arial" w:cs="Arial"/>
                <w:lang w:val="fr-FR"/>
              </w:rPr>
              <w:t>,</w:t>
            </w:r>
            <w:r w:rsidRPr="00371224">
              <w:rPr>
                <w:rFonts w:ascii="Arial" w:hAnsi="Arial" w:cs="Arial"/>
                <w:lang w:val="fr-FR"/>
              </w:rPr>
              <w:t xml:space="preserve"> de la loi coordonnée reçoit un nouvel alinéa introduisant une responsabilisation financière des organismes assureurs à hauteur de 25.000.000 EUR par an à partir de 2026, de manière à atteindre 100.000.000 EUR en 2029 et pour les années suivantes. Les organismes assureurs seront évalués sur la base des résultats obtenus en vue de maitriser les dépenses dans le secteur des soins de santé.</w:t>
            </w:r>
            <w:r w:rsidRPr="00E417A8">
              <w:rPr>
                <w:lang w:val="fr-FR"/>
              </w:rPr>
              <w:t xml:space="preserve"> </w:t>
            </w:r>
            <w:r w:rsidRPr="00E417A8">
              <w:rPr>
                <w:rFonts w:ascii="Arial" w:hAnsi="Arial" w:cs="Arial"/>
                <w:lang w:val="fr-FR"/>
              </w:rPr>
              <w:t xml:space="preserve">Cette responsabilisation renvoie plus spécifiquement aux économies à réaliser par rapport à l'objectif budgétaire annuel global de l'assurance soins de santé et aux objectifs budgétaires annuels partiels des Commissions d'accords visés à l’article 40 </w:t>
            </w:r>
            <w:r>
              <w:rPr>
                <w:rFonts w:ascii="Arial" w:hAnsi="Arial" w:cs="Arial"/>
                <w:lang w:val="fr-FR"/>
              </w:rPr>
              <w:t>d</w:t>
            </w:r>
            <w:r w:rsidRPr="00E417A8">
              <w:rPr>
                <w:rFonts w:ascii="Arial" w:hAnsi="Arial" w:cs="Arial"/>
                <w:lang w:val="fr-FR"/>
              </w:rPr>
              <w:t>e la loi coordonnée.</w:t>
            </w:r>
            <w:r w:rsidRPr="00371224">
              <w:rPr>
                <w:rFonts w:ascii="Arial" w:hAnsi="Arial" w:cs="Arial"/>
                <w:lang w:val="fr-FR"/>
              </w:rPr>
              <w:t xml:space="preserve">  </w:t>
            </w:r>
          </w:p>
        </w:tc>
        <w:tc>
          <w:tcPr>
            <w:tcW w:w="5104" w:type="dxa"/>
          </w:tcPr>
          <w:p w14:paraId="55F1D42A" w14:textId="5D227FF5" w:rsidR="00477C89" w:rsidRPr="0096376B" w:rsidRDefault="00477C89" w:rsidP="00477C89">
            <w:pPr>
              <w:tabs>
                <w:tab w:val="left" w:pos="2925"/>
              </w:tabs>
              <w:spacing w:after="0" w:line="240" w:lineRule="auto"/>
              <w:jc w:val="both"/>
              <w:rPr>
                <w:rFonts w:ascii="Arial" w:hAnsi="Arial" w:cs="Arial"/>
                <w:lang w:val="nl-NL"/>
              </w:rPr>
            </w:pPr>
            <w:r w:rsidRPr="0096376B">
              <w:rPr>
                <w:rFonts w:ascii="Arial" w:hAnsi="Arial" w:cs="Arial"/>
                <w:lang w:val="nl-NL"/>
              </w:rPr>
              <w:t xml:space="preserve">Daartoe krijgt artikel 195, §1, 2°, van de gecoördineerde wet een nieuw lid dat de financiële responsabilisering van de verzekeringsinstellingen invoert ten belope van 25.000.000 EUR per jaar vanaf 2026, om in 2029 en de daaropvolgende jaren 100.000.000 EUR te bereiken. De verzekeringsinstellingen zullen worden geëvalueerd op basis van de verkregen resultaten met het oog op het beheersen van de uitgaven in de sector geneeskundige verzorging. </w:t>
            </w:r>
            <w:r w:rsidRPr="00E417A8">
              <w:rPr>
                <w:rFonts w:ascii="Arial" w:hAnsi="Arial" w:cs="Arial"/>
                <w:lang w:val="nl-NL"/>
              </w:rPr>
              <w:t xml:space="preserve">Deze responsabilisering heeft meer in het bijzonder betrekking op de besparingen die moeten worden gerealiseerd in verband met de </w:t>
            </w:r>
            <w:r>
              <w:rPr>
                <w:rFonts w:ascii="Arial" w:hAnsi="Arial" w:cs="Arial"/>
                <w:lang w:val="nl-NL"/>
              </w:rPr>
              <w:t>globale</w:t>
            </w:r>
            <w:r w:rsidRPr="00E417A8">
              <w:rPr>
                <w:rFonts w:ascii="Arial" w:hAnsi="Arial" w:cs="Arial"/>
                <w:lang w:val="nl-NL"/>
              </w:rPr>
              <w:t xml:space="preserve"> jaarlijkse begrotingsdoelstelling voor de verzekering geneeskundige verzorging en de </w:t>
            </w:r>
            <w:r>
              <w:rPr>
                <w:rFonts w:ascii="Arial" w:hAnsi="Arial" w:cs="Arial"/>
                <w:lang w:val="nl-NL"/>
              </w:rPr>
              <w:t>partiële</w:t>
            </w:r>
            <w:r w:rsidRPr="00E417A8">
              <w:rPr>
                <w:rFonts w:ascii="Arial" w:hAnsi="Arial" w:cs="Arial"/>
                <w:lang w:val="nl-NL"/>
              </w:rPr>
              <w:t xml:space="preserve"> jaarlijkse begrotingsdoelstellingen van de in artikel 40 van de gecoördineerde wet bedoelde akkoordencommissies</w:t>
            </w:r>
            <w:r>
              <w:rPr>
                <w:rFonts w:ascii="Arial" w:hAnsi="Arial" w:cs="Arial"/>
                <w:lang w:val="nl-NL"/>
              </w:rPr>
              <w:t>.</w:t>
            </w:r>
          </w:p>
        </w:tc>
      </w:tr>
      <w:tr w:rsidR="00477C89" w:rsidRPr="008547A0" w14:paraId="48BEAF07" w14:textId="77777777" w:rsidTr="005F50EE">
        <w:tc>
          <w:tcPr>
            <w:tcW w:w="5104" w:type="dxa"/>
          </w:tcPr>
          <w:p w14:paraId="1DD4370F"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150EDC6" w14:textId="77777777" w:rsidR="00477C89" w:rsidRPr="0096376B" w:rsidRDefault="00477C89" w:rsidP="00477C89">
            <w:pPr>
              <w:tabs>
                <w:tab w:val="left" w:pos="2925"/>
              </w:tabs>
              <w:spacing w:after="0" w:line="240" w:lineRule="auto"/>
              <w:jc w:val="both"/>
              <w:rPr>
                <w:rFonts w:ascii="Arial" w:hAnsi="Arial" w:cs="Arial"/>
                <w:lang w:val="nl-NL"/>
              </w:rPr>
            </w:pPr>
          </w:p>
        </w:tc>
      </w:tr>
      <w:tr w:rsidR="00477C89" w:rsidRPr="008547A0" w14:paraId="40B41062" w14:textId="77777777" w:rsidTr="005F50EE">
        <w:tc>
          <w:tcPr>
            <w:tcW w:w="5104" w:type="dxa"/>
          </w:tcPr>
          <w:p w14:paraId="6A142575" w14:textId="7D5A3172" w:rsidR="00477C89" w:rsidRPr="00E417A8" w:rsidRDefault="00477C89" w:rsidP="00477C89">
            <w:pPr>
              <w:tabs>
                <w:tab w:val="left" w:pos="4468"/>
                <w:tab w:val="left" w:pos="5643"/>
                <w:tab w:val="left" w:pos="9747"/>
              </w:tabs>
              <w:spacing w:after="0" w:line="240" w:lineRule="auto"/>
              <w:jc w:val="both"/>
              <w:rPr>
                <w:rFonts w:ascii="Arial" w:hAnsi="Arial" w:cs="Arial"/>
                <w:lang w:val="fr-FR"/>
              </w:rPr>
            </w:pPr>
            <w:r>
              <w:rPr>
                <w:rFonts w:ascii="Arial" w:hAnsi="Arial" w:cs="Arial"/>
                <w:lang w:val="fr-FR"/>
              </w:rPr>
              <w:t>Par ailleurs, c</w:t>
            </w:r>
            <w:r w:rsidRPr="00371224">
              <w:rPr>
                <w:rFonts w:ascii="Arial" w:hAnsi="Arial" w:cs="Arial"/>
                <w:lang w:val="fr-FR"/>
              </w:rPr>
              <w:t xml:space="preserve">ette responsabilisation est individuelle ou collective selon les thèmes d’évaluation choisis et/ou selon les types d’action qui seront attendus d’eux. </w:t>
            </w:r>
            <w:r>
              <w:rPr>
                <w:rFonts w:ascii="Arial" w:hAnsi="Arial" w:cs="Arial"/>
                <w:lang w:val="fr-FR"/>
              </w:rPr>
              <w:t>Enfin, l</w:t>
            </w:r>
            <w:r w:rsidRPr="00371224">
              <w:rPr>
                <w:rFonts w:ascii="Arial" w:hAnsi="Arial" w:cs="Arial"/>
                <w:lang w:val="fr-FR"/>
              </w:rPr>
              <w:t>es montants sur lesquels portent cette responsabilisation ne sont pas versés aux organismes assureurs mais sont réservés sur un compte de l’Institut et sont, le cas échéant, attribués aux organismes assureurs après une évaluation des résultats obtenus par eux.</w:t>
            </w:r>
          </w:p>
        </w:tc>
        <w:tc>
          <w:tcPr>
            <w:tcW w:w="5104" w:type="dxa"/>
          </w:tcPr>
          <w:p w14:paraId="21EDF3F0" w14:textId="6E6F2134" w:rsidR="00477C89" w:rsidRPr="0096376B" w:rsidRDefault="00477C89" w:rsidP="00477C89">
            <w:pPr>
              <w:tabs>
                <w:tab w:val="left" w:pos="2925"/>
              </w:tabs>
              <w:spacing w:after="0" w:line="240" w:lineRule="auto"/>
              <w:jc w:val="both"/>
              <w:rPr>
                <w:rFonts w:ascii="Arial" w:hAnsi="Arial" w:cs="Arial"/>
                <w:lang w:val="nl-NL"/>
              </w:rPr>
            </w:pPr>
            <w:r>
              <w:rPr>
                <w:rFonts w:ascii="Arial" w:hAnsi="Arial" w:cs="Arial"/>
                <w:lang w:val="nl-NL"/>
              </w:rPr>
              <w:t>Bovendien is d</w:t>
            </w:r>
            <w:r w:rsidRPr="0096376B">
              <w:rPr>
                <w:rFonts w:ascii="Arial" w:hAnsi="Arial" w:cs="Arial"/>
                <w:lang w:val="nl-NL"/>
              </w:rPr>
              <w:t xml:space="preserve">eze responsabilisering individueel of collectief, afhankelijk van de gekozen evaluatiethema's en/of van de soorten acties die van hen worden verwacht. </w:t>
            </w:r>
            <w:r>
              <w:rPr>
                <w:rFonts w:ascii="Arial" w:hAnsi="Arial" w:cs="Arial"/>
                <w:lang w:val="nl-NL"/>
              </w:rPr>
              <w:t>Tot slot worden d</w:t>
            </w:r>
            <w:r w:rsidRPr="0096376B">
              <w:rPr>
                <w:rFonts w:ascii="Arial" w:hAnsi="Arial" w:cs="Arial"/>
                <w:lang w:val="nl-NL"/>
              </w:rPr>
              <w:t>e bedragen waarop deze responsabili</w:t>
            </w:r>
            <w:r>
              <w:rPr>
                <w:rFonts w:ascii="Arial" w:hAnsi="Arial" w:cs="Arial"/>
                <w:lang w:val="nl-NL"/>
              </w:rPr>
              <w:t>s</w:t>
            </w:r>
            <w:r w:rsidRPr="0096376B">
              <w:rPr>
                <w:rFonts w:ascii="Arial" w:hAnsi="Arial" w:cs="Arial"/>
                <w:lang w:val="nl-NL"/>
              </w:rPr>
              <w:t>ering betrekking heeft, niet uitgekeerd aan de verzekeringsinstellingen, maar worden gereserveerd op een rekening van het Instituut en worden, in voorkomend geval, aan de verzekeringsinstellingen toegekend na een evaluatie van de door hen behaalde resultaten.</w:t>
            </w:r>
          </w:p>
        </w:tc>
      </w:tr>
      <w:tr w:rsidR="00477C89" w:rsidRPr="008547A0" w14:paraId="499CBC4E" w14:textId="77777777" w:rsidTr="005F50EE">
        <w:tc>
          <w:tcPr>
            <w:tcW w:w="5104" w:type="dxa"/>
          </w:tcPr>
          <w:p w14:paraId="24F581C6"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98049D0" w14:textId="77777777" w:rsidR="00477C89" w:rsidRPr="0096376B" w:rsidRDefault="00477C89" w:rsidP="00477C89">
            <w:pPr>
              <w:tabs>
                <w:tab w:val="left" w:pos="2925"/>
              </w:tabs>
              <w:spacing w:after="0" w:line="240" w:lineRule="auto"/>
              <w:jc w:val="both"/>
              <w:rPr>
                <w:rFonts w:ascii="Arial" w:hAnsi="Arial" w:cs="Arial"/>
                <w:lang w:val="nl-NL"/>
              </w:rPr>
            </w:pPr>
          </w:p>
        </w:tc>
      </w:tr>
      <w:tr w:rsidR="00477C89" w:rsidRPr="008547A0" w14:paraId="7E8B7353" w14:textId="77777777" w:rsidTr="005F50EE">
        <w:tc>
          <w:tcPr>
            <w:tcW w:w="5104" w:type="dxa"/>
          </w:tcPr>
          <w:p w14:paraId="3E669200" w14:textId="3859C4B9"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371224">
              <w:rPr>
                <w:rFonts w:ascii="Arial" w:hAnsi="Arial" w:cs="Arial"/>
                <w:lang w:val="fr-FR"/>
              </w:rPr>
              <w:t xml:space="preserve">Le Roi reçoit l’habilitation de déterminer, par arrêté </w:t>
            </w:r>
            <w:r>
              <w:rPr>
                <w:rFonts w:ascii="Arial" w:hAnsi="Arial" w:cs="Arial"/>
                <w:lang w:val="fr-FR"/>
              </w:rPr>
              <w:t>royal</w:t>
            </w:r>
            <w:r w:rsidRPr="00371224">
              <w:rPr>
                <w:rFonts w:ascii="Arial" w:hAnsi="Arial" w:cs="Arial"/>
                <w:lang w:val="fr-FR"/>
              </w:rPr>
              <w:t xml:space="preserve">, les modalités d’évaluation, la périodicité et les conditions selon lesquelles la partie des frais d’administration réservée est attribuée ou non aux organismes assureurs. En ce qui concerne le choix des thèmes et des actions qui seront évalués pour estimer la maitrise des dépenses de l’assurance soins de santé, les organismes assureurs auront eux aussi l’opportunité de proposer des thèmes d’évaluation. </w:t>
            </w:r>
          </w:p>
        </w:tc>
        <w:tc>
          <w:tcPr>
            <w:tcW w:w="5104" w:type="dxa"/>
          </w:tcPr>
          <w:p w14:paraId="7FFBEBA1" w14:textId="4C9479B8" w:rsidR="00477C89" w:rsidRPr="0096376B" w:rsidRDefault="00477C89" w:rsidP="00477C89">
            <w:pPr>
              <w:tabs>
                <w:tab w:val="left" w:pos="2925"/>
              </w:tabs>
              <w:spacing w:after="0" w:line="240" w:lineRule="auto"/>
              <w:jc w:val="both"/>
              <w:rPr>
                <w:rFonts w:ascii="Arial" w:hAnsi="Arial" w:cs="Arial"/>
                <w:lang w:val="nl-NL"/>
              </w:rPr>
            </w:pPr>
            <w:r w:rsidRPr="0096376B">
              <w:rPr>
                <w:rFonts w:ascii="Arial" w:hAnsi="Arial" w:cs="Arial"/>
                <w:lang w:val="nl-NL"/>
              </w:rPr>
              <w:t>De Koning is bevoegd om, bij koninklijk besluit, de evaluatiecriteria, de periodiciteit en de voorwaarden waaronder het gereserveerd deel van de administratiekosten al dan niet aan de verzekeringsin</w:t>
            </w:r>
            <w:r>
              <w:rPr>
                <w:rFonts w:ascii="Arial" w:hAnsi="Arial" w:cs="Arial"/>
                <w:lang w:val="nl-NL"/>
              </w:rPr>
              <w:t>s</w:t>
            </w:r>
            <w:r w:rsidRPr="0096376B">
              <w:rPr>
                <w:rFonts w:ascii="Arial" w:hAnsi="Arial" w:cs="Arial"/>
                <w:lang w:val="nl-NL"/>
              </w:rPr>
              <w:t xml:space="preserve">tellingen wordt toegekend, vast te stellen. Met betrekking tot de keuze van thema's en acties die zullen worden geëvalueerd om de beheersing van de uitgaven van de verzekering geneeskundige verzorging te begroten, zullen de </w:t>
            </w:r>
            <w:r w:rsidRPr="0096376B">
              <w:rPr>
                <w:rFonts w:ascii="Arial" w:hAnsi="Arial" w:cs="Arial"/>
                <w:lang w:val="nl-NL"/>
              </w:rPr>
              <w:lastRenderedPageBreak/>
              <w:t>verzekeringsinstellingen ook de mogelijkheid hebben om evaluatiethema's voor te stellen.</w:t>
            </w:r>
          </w:p>
        </w:tc>
      </w:tr>
      <w:tr w:rsidR="00477C89" w:rsidRPr="008547A0" w14:paraId="183A0740" w14:textId="77777777" w:rsidTr="005F50EE">
        <w:tc>
          <w:tcPr>
            <w:tcW w:w="5104" w:type="dxa"/>
          </w:tcPr>
          <w:p w14:paraId="11EC0441"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66BFF9E" w14:textId="77777777" w:rsidR="00477C89" w:rsidRPr="0096376B" w:rsidRDefault="00477C89" w:rsidP="00477C89">
            <w:pPr>
              <w:tabs>
                <w:tab w:val="left" w:pos="2925"/>
              </w:tabs>
              <w:spacing w:after="0" w:line="240" w:lineRule="auto"/>
              <w:jc w:val="both"/>
              <w:rPr>
                <w:rFonts w:ascii="Arial" w:hAnsi="Arial" w:cs="Arial"/>
                <w:lang w:val="nl-NL"/>
              </w:rPr>
            </w:pPr>
          </w:p>
        </w:tc>
      </w:tr>
      <w:tr w:rsidR="00477C89" w:rsidRPr="008547A0" w14:paraId="2223CE2C" w14:textId="77777777" w:rsidTr="005F50EE">
        <w:tc>
          <w:tcPr>
            <w:tcW w:w="5104" w:type="dxa"/>
          </w:tcPr>
          <w:p w14:paraId="68606819" w14:textId="1E9EF1DA" w:rsidR="00477C89" w:rsidRPr="0090313C" w:rsidRDefault="00477C89" w:rsidP="00477C89">
            <w:pPr>
              <w:tabs>
                <w:tab w:val="left" w:pos="4468"/>
                <w:tab w:val="left" w:pos="5643"/>
                <w:tab w:val="left" w:pos="9747"/>
              </w:tabs>
              <w:spacing w:after="0" w:line="240" w:lineRule="auto"/>
              <w:jc w:val="both"/>
              <w:rPr>
                <w:rFonts w:ascii="Arial" w:hAnsi="Arial" w:cs="Arial"/>
                <w:lang w:val="fr-FR"/>
              </w:rPr>
            </w:pPr>
            <w:r w:rsidRPr="00371224">
              <w:rPr>
                <w:rFonts w:ascii="Arial" w:hAnsi="Arial" w:cs="Arial"/>
                <w:lang w:val="fr-FR"/>
              </w:rPr>
              <w:t>Il convient enfin de souligner que ce nouveau type de responsabilisation n’est pas lié au système prévu à l’article 195</w:t>
            </w:r>
            <w:r>
              <w:rPr>
                <w:rFonts w:ascii="Arial" w:hAnsi="Arial" w:cs="Arial"/>
                <w:lang w:val="fr-FR"/>
              </w:rPr>
              <w:t>,</w:t>
            </w:r>
            <w:r w:rsidRPr="00371224">
              <w:rPr>
                <w:rFonts w:ascii="Arial" w:hAnsi="Arial" w:cs="Arial"/>
                <w:lang w:val="fr-FR"/>
              </w:rPr>
              <w:t xml:space="preserve"> §1er, 2°</w:t>
            </w:r>
            <w:r>
              <w:rPr>
                <w:rFonts w:ascii="Arial" w:hAnsi="Arial" w:cs="Arial"/>
                <w:lang w:val="fr-FR"/>
              </w:rPr>
              <w:t>,</w:t>
            </w:r>
            <w:r w:rsidRPr="00371224">
              <w:rPr>
                <w:rFonts w:ascii="Arial" w:hAnsi="Arial" w:cs="Arial"/>
                <w:lang w:val="fr-FR"/>
              </w:rPr>
              <w:t xml:space="preserve"> alinéa 8</w:t>
            </w:r>
            <w:r>
              <w:rPr>
                <w:rFonts w:ascii="Arial" w:hAnsi="Arial" w:cs="Arial"/>
                <w:lang w:val="fr-FR"/>
              </w:rPr>
              <w:t>,</w:t>
            </w:r>
            <w:r w:rsidRPr="00371224">
              <w:rPr>
                <w:rFonts w:ascii="Arial" w:hAnsi="Arial" w:cs="Arial"/>
                <w:lang w:val="fr-FR"/>
              </w:rPr>
              <w:t xml:space="preserve"> de la loi coordonnée exécutée par l’arrêté royal du 13 septembre 2023. </w:t>
            </w:r>
          </w:p>
        </w:tc>
        <w:tc>
          <w:tcPr>
            <w:tcW w:w="5104" w:type="dxa"/>
          </w:tcPr>
          <w:p w14:paraId="5586742D" w14:textId="04F03420" w:rsidR="00477C89" w:rsidRPr="0096376B" w:rsidRDefault="00477C89" w:rsidP="00477C89">
            <w:pPr>
              <w:tabs>
                <w:tab w:val="left" w:pos="2925"/>
              </w:tabs>
              <w:spacing w:after="0" w:line="240" w:lineRule="auto"/>
              <w:jc w:val="both"/>
              <w:rPr>
                <w:rFonts w:ascii="Arial" w:hAnsi="Arial" w:cs="Arial"/>
                <w:lang w:val="nl-NL"/>
              </w:rPr>
            </w:pPr>
            <w:r w:rsidRPr="0096376B">
              <w:rPr>
                <w:rFonts w:ascii="Arial" w:hAnsi="Arial" w:cs="Arial"/>
                <w:lang w:val="nl-NL"/>
              </w:rPr>
              <w:t>Ten slotte dient te worden opgemerkt dat deze nieuwe vorm van responsabilisering geen verband houdt met het systeem voorzien in artikel 195, §</w:t>
            </w:r>
            <w:r>
              <w:rPr>
                <w:rFonts w:ascii="Arial" w:hAnsi="Arial" w:cs="Arial"/>
                <w:lang w:val="nl-NL"/>
              </w:rPr>
              <w:t> </w:t>
            </w:r>
            <w:r w:rsidRPr="0096376B">
              <w:rPr>
                <w:rFonts w:ascii="Arial" w:hAnsi="Arial" w:cs="Arial"/>
                <w:lang w:val="nl-NL"/>
              </w:rPr>
              <w:t>1, 2°, lid 8, van de gecoördineerde wet, uitgevoerd bij het koninklijk besluit van 13 september 2023.</w:t>
            </w:r>
          </w:p>
        </w:tc>
      </w:tr>
      <w:bookmarkEnd w:id="23"/>
      <w:tr w:rsidR="00477C89" w:rsidRPr="008547A0" w14:paraId="2F2326FD" w14:textId="77777777" w:rsidTr="005F50EE">
        <w:tc>
          <w:tcPr>
            <w:tcW w:w="5104" w:type="dxa"/>
          </w:tcPr>
          <w:p w14:paraId="5F009933"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5022A72" w14:textId="77777777" w:rsidR="00477C89" w:rsidRPr="0096376B" w:rsidRDefault="00477C89" w:rsidP="00477C89">
            <w:pPr>
              <w:tabs>
                <w:tab w:val="left" w:pos="2925"/>
              </w:tabs>
              <w:spacing w:after="0" w:line="240" w:lineRule="auto"/>
              <w:jc w:val="both"/>
              <w:rPr>
                <w:rFonts w:ascii="Arial" w:hAnsi="Arial" w:cs="Arial"/>
                <w:lang w:val="nl-NL"/>
              </w:rPr>
            </w:pPr>
          </w:p>
        </w:tc>
      </w:tr>
      <w:tr w:rsidR="00477C89" w:rsidRPr="008547A0" w14:paraId="3F230EB7" w14:textId="77777777" w:rsidTr="005F50EE">
        <w:tc>
          <w:tcPr>
            <w:tcW w:w="5104" w:type="dxa"/>
          </w:tcPr>
          <w:p w14:paraId="725E38AB" w14:textId="77777777" w:rsidR="00477C89" w:rsidRPr="00DF4489" w:rsidRDefault="00477C89" w:rsidP="00477C89">
            <w:pPr>
              <w:pStyle w:val="Kop1"/>
              <w:spacing w:before="0" w:line="240" w:lineRule="auto"/>
              <w:jc w:val="center"/>
              <w:rPr>
                <w:rFonts w:ascii="Arial" w:eastAsia="Times New Roman" w:hAnsi="Arial" w:cs="Arial"/>
                <w:bCs w:val="0"/>
                <w:color w:val="auto"/>
                <w:sz w:val="22"/>
                <w:szCs w:val="22"/>
                <w:lang w:val="fr-BE"/>
              </w:rPr>
            </w:pPr>
            <w:r w:rsidRPr="00DF4489">
              <w:rPr>
                <w:rFonts w:ascii="Arial" w:eastAsia="Times New Roman" w:hAnsi="Arial" w:cs="Arial"/>
                <w:bCs w:val="0"/>
                <w:color w:val="auto"/>
                <w:sz w:val="22"/>
                <w:szCs w:val="22"/>
                <w:lang w:val="fr-BE"/>
              </w:rPr>
              <w:t xml:space="preserve">Chapitre </w:t>
            </w:r>
            <w:r>
              <w:rPr>
                <w:rFonts w:ascii="Arial" w:eastAsia="Times New Roman" w:hAnsi="Arial" w:cs="Arial"/>
                <w:bCs w:val="0"/>
                <w:color w:val="auto"/>
                <w:sz w:val="22"/>
                <w:szCs w:val="22"/>
                <w:lang w:val="fr-BE"/>
              </w:rPr>
              <w:t>2</w:t>
            </w:r>
            <w:r w:rsidRPr="00DF4489">
              <w:rPr>
                <w:rFonts w:ascii="Arial" w:eastAsia="Times New Roman" w:hAnsi="Arial" w:cs="Arial"/>
                <w:bCs w:val="0"/>
                <w:color w:val="auto"/>
                <w:sz w:val="22"/>
                <w:szCs w:val="22"/>
                <w:lang w:val="fr-BE"/>
              </w:rPr>
              <w:t xml:space="preserve"> - Modifications à la loi</w:t>
            </w:r>
            <w:r>
              <w:rPr>
                <w:rFonts w:ascii="Arial" w:eastAsia="Times New Roman" w:hAnsi="Arial" w:cs="Arial"/>
                <w:bCs w:val="0"/>
                <w:color w:val="auto"/>
                <w:sz w:val="22"/>
                <w:szCs w:val="22"/>
                <w:lang w:val="fr-BE"/>
              </w:rPr>
              <w:t>-programme (I) du 24 décembre 2002</w:t>
            </w:r>
          </w:p>
          <w:p w14:paraId="23B0E6A4" w14:textId="77777777" w:rsidR="00477C89" w:rsidRPr="00DF4489" w:rsidRDefault="00477C89" w:rsidP="00477C89">
            <w:pPr>
              <w:pStyle w:val="Kop1"/>
              <w:spacing w:before="0" w:line="240" w:lineRule="auto"/>
              <w:jc w:val="center"/>
              <w:rPr>
                <w:rFonts w:ascii="Arial" w:eastAsia="Times New Roman" w:hAnsi="Arial" w:cs="Arial"/>
                <w:bCs w:val="0"/>
                <w:color w:val="auto"/>
                <w:sz w:val="22"/>
                <w:szCs w:val="22"/>
                <w:lang w:val="fr-BE"/>
              </w:rPr>
            </w:pPr>
          </w:p>
        </w:tc>
        <w:tc>
          <w:tcPr>
            <w:tcW w:w="5104" w:type="dxa"/>
          </w:tcPr>
          <w:p w14:paraId="548CF86B" w14:textId="359E0D49" w:rsidR="00477C89" w:rsidRPr="00DF4489" w:rsidRDefault="00477C89" w:rsidP="00477C89">
            <w:pPr>
              <w:pStyle w:val="Kop1"/>
              <w:spacing w:before="0" w:line="240" w:lineRule="auto"/>
              <w:jc w:val="center"/>
              <w:rPr>
                <w:rFonts w:ascii="Arial" w:eastAsia="Times New Roman" w:hAnsi="Arial" w:cs="Arial"/>
                <w:bCs w:val="0"/>
                <w:color w:val="auto"/>
                <w:sz w:val="22"/>
                <w:szCs w:val="22"/>
                <w:lang w:val="nl-NL"/>
              </w:rPr>
            </w:pPr>
            <w:commentRangeStart w:id="25"/>
            <w:r w:rsidRPr="00DF4489">
              <w:rPr>
                <w:rFonts w:ascii="Arial" w:eastAsia="Times New Roman" w:hAnsi="Arial" w:cs="Arial"/>
                <w:bCs w:val="0"/>
                <w:color w:val="auto"/>
                <w:sz w:val="22"/>
                <w:szCs w:val="22"/>
                <w:lang w:val="nl-NL"/>
              </w:rPr>
              <w:t xml:space="preserve">Hoofdstuk </w:t>
            </w:r>
            <w:r>
              <w:rPr>
                <w:rFonts w:ascii="Arial" w:eastAsia="Times New Roman" w:hAnsi="Arial" w:cs="Arial"/>
                <w:bCs w:val="0"/>
                <w:color w:val="auto"/>
                <w:sz w:val="22"/>
                <w:szCs w:val="22"/>
                <w:lang w:val="nl-NL"/>
              </w:rPr>
              <w:t>2</w:t>
            </w:r>
            <w:r w:rsidRPr="00DF4489">
              <w:rPr>
                <w:rFonts w:ascii="Arial" w:eastAsia="Times New Roman" w:hAnsi="Arial" w:cs="Arial"/>
                <w:bCs w:val="0"/>
                <w:color w:val="auto"/>
                <w:sz w:val="22"/>
                <w:szCs w:val="22"/>
                <w:lang w:val="nl-NL"/>
              </w:rPr>
              <w:t xml:space="preserve"> - Wijzigingen van de </w:t>
            </w:r>
            <w:r>
              <w:rPr>
                <w:rFonts w:ascii="Arial" w:eastAsia="Times New Roman" w:hAnsi="Arial" w:cs="Arial"/>
                <w:bCs w:val="0"/>
                <w:color w:val="auto"/>
                <w:sz w:val="22"/>
                <w:szCs w:val="22"/>
                <w:lang w:val="nl-NL"/>
              </w:rPr>
              <w:t>programma</w:t>
            </w:r>
            <w:r w:rsidRPr="00DF4489">
              <w:rPr>
                <w:rFonts w:ascii="Arial" w:eastAsia="Times New Roman" w:hAnsi="Arial" w:cs="Arial"/>
                <w:bCs w:val="0"/>
                <w:color w:val="auto"/>
                <w:sz w:val="22"/>
                <w:szCs w:val="22"/>
                <w:lang w:val="nl-NL"/>
              </w:rPr>
              <w:t xml:space="preserve">wet </w:t>
            </w:r>
            <w:r>
              <w:rPr>
                <w:rFonts w:ascii="Arial" w:eastAsia="Times New Roman" w:hAnsi="Arial" w:cs="Arial"/>
                <w:bCs w:val="0"/>
                <w:color w:val="auto"/>
                <w:sz w:val="22"/>
                <w:szCs w:val="22"/>
                <w:lang w:val="nl-NL"/>
              </w:rPr>
              <w:t>(I) van 24 december 2002</w:t>
            </w:r>
            <w:commentRangeEnd w:id="25"/>
            <w:r>
              <w:rPr>
                <w:rStyle w:val="Verwijzingopmerking"/>
                <w:rFonts w:asciiTheme="minorHAnsi" w:eastAsiaTheme="minorHAnsi" w:hAnsiTheme="minorHAnsi" w:cstheme="minorBidi"/>
                <w:b w:val="0"/>
                <w:bCs w:val="0"/>
                <w:color w:val="auto"/>
                <w:lang w:val="en-GB"/>
              </w:rPr>
              <w:commentReference w:id="25"/>
            </w:r>
          </w:p>
        </w:tc>
      </w:tr>
      <w:tr w:rsidR="00477C89" w:rsidRPr="008547A0" w14:paraId="18BE6DDA" w14:textId="77777777" w:rsidTr="005F50EE">
        <w:tc>
          <w:tcPr>
            <w:tcW w:w="5104" w:type="dxa"/>
          </w:tcPr>
          <w:p w14:paraId="4047BA88"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ACBD531" w14:textId="77777777" w:rsidR="00477C89" w:rsidRPr="0096376B" w:rsidRDefault="00477C89" w:rsidP="00477C89">
            <w:pPr>
              <w:tabs>
                <w:tab w:val="left" w:pos="2925"/>
              </w:tabs>
              <w:spacing w:after="0" w:line="240" w:lineRule="auto"/>
              <w:ind w:firstLine="708"/>
              <w:jc w:val="both"/>
              <w:rPr>
                <w:rFonts w:ascii="Arial" w:hAnsi="Arial" w:cs="Arial"/>
                <w:lang w:val="nl-NL"/>
              </w:rPr>
            </w:pPr>
          </w:p>
        </w:tc>
      </w:tr>
      <w:tr w:rsidR="00477C89" w:rsidRPr="00EE6F91" w14:paraId="575EA1FD" w14:textId="77777777" w:rsidTr="005F50EE">
        <w:tc>
          <w:tcPr>
            <w:tcW w:w="5104" w:type="dxa"/>
          </w:tcPr>
          <w:p w14:paraId="569D9158" w14:textId="39158127"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+59</w:t>
            </w:r>
          </w:p>
        </w:tc>
        <w:tc>
          <w:tcPr>
            <w:tcW w:w="5104" w:type="dxa"/>
          </w:tcPr>
          <w:p w14:paraId="75DDC1BF" w14:textId="0E4C3C2B" w:rsidR="00477C89" w:rsidRPr="00EE6F91" w:rsidRDefault="00477C89" w:rsidP="00477C89">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+59</w:t>
            </w:r>
          </w:p>
        </w:tc>
      </w:tr>
      <w:tr w:rsidR="00477C89" w:rsidRPr="00B0611B" w14:paraId="295B7B6E" w14:textId="77777777" w:rsidTr="005F50EE">
        <w:tc>
          <w:tcPr>
            <w:tcW w:w="5104" w:type="dxa"/>
          </w:tcPr>
          <w:p w14:paraId="35822CF0" w14:textId="77777777" w:rsidR="00477C89" w:rsidRPr="0096376B"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5E02B80C" w14:textId="77777777" w:rsidR="00477C89" w:rsidRPr="0096376B" w:rsidRDefault="00477C89" w:rsidP="00477C89">
            <w:pPr>
              <w:tabs>
                <w:tab w:val="left" w:pos="2925"/>
              </w:tabs>
              <w:spacing w:after="0" w:line="240" w:lineRule="auto"/>
              <w:ind w:firstLine="708"/>
              <w:jc w:val="both"/>
              <w:rPr>
                <w:rFonts w:ascii="Arial" w:hAnsi="Arial" w:cs="Arial"/>
                <w:lang w:val="nl-NL"/>
              </w:rPr>
            </w:pPr>
          </w:p>
        </w:tc>
      </w:tr>
      <w:tr w:rsidR="00477C89" w:rsidRPr="008547A0" w14:paraId="409BFD19" w14:textId="77777777" w:rsidTr="005F50EE">
        <w:tc>
          <w:tcPr>
            <w:tcW w:w="5104" w:type="dxa"/>
          </w:tcPr>
          <w:p w14:paraId="22BACA18" w14:textId="1467282E" w:rsidR="00477C89" w:rsidRPr="00500DB9" w:rsidRDefault="00477C89" w:rsidP="00477C89">
            <w:pPr>
              <w:tabs>
                <w:tab w:val="left" w:pos="4468"/>
                <w:tab w:val="left" w:pos="5643"/>
                <w:tab w:val="left" w:pos="9747"/>
              </w:tabs>
              <w:spacing w:after="0" w:line="240" w:lineRule="auto"/>
              <w:jc w:val="both"/>
              <w:rPr>
                <w:rFonts w:ascii="Arial" w:hAnsi="Arial" w:cs="Arial"/>
                <w:lang w:val="fr-FR"/>
              </w:rPr>
            </w:pPr>
            <w:r w:rsidRPr="00500DB9">
              <w:rPr>
                <w:rFonts w:ascii="Arial" w:hAnsi="Arial" w:cs="Arial"/>
                <w:lang w:val="fr-FR"/>
              </w:rPr>
              <w:t xml:space="preserve">Afin d'ancrer les enquêtes antifraudes dans la législation, l'actuel article 278 de la loi-programme (I) du 24 décembre 2002 est modifié afin de donner aux organismes </w:t>
            </w:r>
            <w:r>
              <w:rPr>
                <w:rFonts w:ascii="Arial" w:hAnsi="Arial" w:cs="Arial"/>
                <w:lang w:val="fr-FR"/>
              </w:rPr>
              <w:t>assureurs</w:t>
            </w:r>
            <w:r w:rsidRPr="00500DB9">
              <w:rPr>
                <w:rFonts w:ascii="Arial" w:hAnsi="Arial" w:cs="Arial"/>
                <w:lang w:val="fr-FR"/>
              </w:rPr>
              <w:t xml:space="preserve"> la possibilité d'intervenir en cas de fraude, de surconsommation, de soins inefficaces, etc., sur la base de l'analyse des données collectées par l'Agence intermutualiste. </w:t>
            </w:r>
          </w:p>
        </w:tc>
        <w:tc>
          <w:tcPr>
            <w:tcW w:w="5104" w:type="dxa"/>
          </w:tcPr>
          <w:p w14:paraId="72E7C5CB" w14:textId="56BC9921" w:rsidR="00477C89" w:rsidRPr="00500DB9" w:rsidRDefault="00477C89" w:rsidP="00477C89">
            <w:pPr>
              <w:tabs>
                <w:tab w:val="left" w:pos="2925"/>
              </w:tabs>
              <w:spacing w:after="0" w:line="240" w:lineRule="auto"/>
              <w:jc w:val="both"/>
              <w:rPr>
                <w:rFonts w:ascii="Arial" w:hAnsi="Arial" w:cs="Arial"/>
                <w:lang w:val="nl-NL"/>
              </w:rPr>
            </w:pPr>
            <w:r w:rsidRPr="00500DB9">
              <w:rPr>
                <w:rFonts w:ascii="Arial" w:hAnsi="Arial" w:cs="Arial"/>
                <w:lang w:val="nl-NL"/>
              </w:rPr>
              <w:t>Om fraudeonderzoek op intermutualistische wijze wetgevend te verankeren wordt het huidig artikel 278 van de Programmawet (I) van 24 december 2002 aangepast zodat de verzekeringsinstellingen de mogelijkheid krijgen om aan de hand van de analyse van de verzamelde cijfers van het Intermutualistisch Agentschap acties te ondernemen bij fraude, overconsumptie, ondoelmatige zorg, enz.</w:t>
            </w:r>
          </w:p>
        </w:tc>
      </w:tr>
      <w:tr w:rsidR="00477C89" w:rsidRPr="008547A0" w14:paraId="766F6148" w14:textId="77777777" w:rsidTr="005F50EE">
        <w:tc>
          <w:tcPr>
            <w:tcW w:w="5104" w:type="dxa"/>
          </w:tcPr>
          <w:p w14:paraId="130CF5D7" w14:textId="77777777" w:rsidR="00477C89" w:rsidRPr="00500DB9"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733FECE1" w14:textId="77777777" w:rsidR="00477C89" w:rsidRPr="00500DB9" w:rsidRDefault="00477C89" w:rsidP="00477C89">
            <w:pPr>
              <w:tabs>
                <w:tab w:val="left" w:pos="2925"/>
              </w:tabs>
              <w:spacing w:after="0" w:line="240" w:lineRule="auto"/>
              <w:ind w:firstLine="708"/>
              <w:jc w:val="both"/>
              <w:rPr>
                <w:rFonts w:ascii="Arial" w:hAnsi="Arial" w:cs="Arial"/>
                <w:lang w:val="nl-NL"/>
              </w:rPr>
            </w:pPr>
          </w:p>
        </w:tc>
      </w:tr>
      <w:tr w:rsidR="00477C89" w:rsidRPr="008547A0" w14:paraId="4B035E36" w14:textId="77777777" w:rsidTr="005F50EE">
        <w:tc>
          <w:tcPr>
            <w:tcW w:w="5104" w:type="dxa"/>
          </w:tcPr>
          <w:p w14:paraId="4F024B7B" w14:textId="693FBB98" w:rsidR="00477C89" w:rsidRPr="00500DB9" w:rsidRDefault="00477C89" w:rsidP="00477C89">
            <w:pPr>
              <w:tabs>
                <w:tab w:val="left" w:pos="4468"/>
                <w:tab w:val="left" w:pos="5643"/>
                <w:tab w:val="left" w:pos="9747"/>
              </w:tabs>
              <w:spacing w:after="0" w:line="240" w:lineRule="auto"/>
              <w:jc w:val="both"/>
              <w:rPr>
                <w:rFonts w:ascii="Arial" w:hAnsi="Arial" w:cs="Arial"/>
                <w:lang w:val="fr-FR"/>
              </w:rPr>
            </w:pPr>
            <w:r w:rsidRPr="00500DB9">
              <w:rPr>
                <w:rFonts w:ascii="Arial" w:hAnsi="Arial" w:cs="Arial"/>
                <w:lang w:val="fr-FR"/>
              </w:rPr>
              <w:t xml:space="preserve">Pour lutter contre la fraude de manière intermutualiste, il est plus efficace d'analyser l'ensemble des données des organismes assureurs ensemble. Cette tâche pourrait être assurée par l'Agence intermutualiste. Par exemple, l'article 278 de la loi-programme (I) du 24 décembre 2002 </w:t>
            </w:r>
            <w:r>
              <w:rPr>
                <w:rFonts w:ascii="Arial" w:hAnsi="Arial" w:cs="Arial"/>
                <w:lang w:val="fr-FR"/>
              </w:rPr>
              <w:t>dispose</w:t>
            </w:r>
            <w:r w:rsidRPr="00500DB9">
              <w:rPr>
                <w:rFonts w:ascii="Arial" w:hAnsi="Arial" w:cs="Arial"/>
                <w:lang w:val="fr-FR"/>
              </w:rPr>
              <w:t xml:space="preserve"> déjà (au premier alinéa) que l'Agence intermutualiste a pour mission d'analyser les données collectées par les organismes assureurs  dans le cadre de leurs missions et de fournir les informations nécessaires. Cet article 278 est désormais complété pour cette finalité. De plus, l’ancrage légal de cette compétence empêche en </w:t>
            </w:r>
            <w:r>
              <w:rPr>
                <w:rFonts w:ascii="Arial" w:hAnsi="Arial" w:cs="Arial"/>
                <w:lang w:val="fr-FR"/>
              </w:rPr>
              <w:t>o</w:t>
            </w:r>
            <w:r w:rsidRPr="00500DB9">
              <w:rPr>
                <w:rFonts w:ascii="Arial" w:hAnsi="Arial" w:cs="Arial"/>
                <w:lang w:val="fr-FR"/>
              </w:rPr>
              <w:t xml:space="preserve">utre que cette compétence soit remise en cause par des </w:t>
            </w:r>
            <w:r>
              <w:rPr>
                <w:rFonts w:ascii="Arial" w:hAnsi="Arial" w:cs="Arial"/>
                <w:lang w:val="fr-FR"/>
              </w:rPr>
              <w:t>dispensateurs</w:t>
            </w:r>
            <w:r w:rsidRPr="00500DB9">
              <w:rPr>
                <w:rFonts w:ascii="Arial" w:hAnsi="Arial" w:cs="Arial"/>
                <w:lang w:val="fr-FR"/>
              </w:rPr>
              <w:t xml:space="preserve"> de soins ciblés dans le cadre de poursuites judiciaires intentées.</w:t>
            </w:r>
          </w:p>
        </w:tc>
        <w:tc>
          <w:tcPr>
            <w:tcW w:w="5104" w:type="dxa"/>
          </w:tcPr>
          <w:p w14:paraId="2616929D" w14:textId="615FA217" w:rsidR="00477C89" w:rsidRPr="00B91A7E" w:rsidRDefault="00477C89" w:rsidP="00477C89">
            <w:pPr>
              <w:tabs>
                <w:tab w:val="left" w:pos="2925"/>
              </w:tabs>
              <w:spacing w:after="0" w:line="240" w:lineRule="auto"/>
              <w:jc w:val="both"/>
              <w:rPr>
                <w:rFonts w:ascii="Arial" w:hAnsi="Arial" w:cs="Arial"/>
                <w:lang w:val="nl-NL"/>
              </w:rPr>
            </w:pPr>
            <w:r w:rsidRPr="00500DB9">
              <w:rPr>
                <w:rFonts w:ascii="Arial" w:hAnsi="Arial" w:cs="Arial"/>
                <w:lang w:val="nl-NL"/>
              </w:rPr>
              <w:t>Om fraude intermutualistisch aan te pakken is het efficiënter om alle data van de verzekeringsinstellingen samen te analyseren. Dit is een opdracht die door het Intermutualistisch Agentschap zou kunnen worden uitgevoerd. Zo bepaalt artikel 278 van de Programmawet (I) van 24 december 2002 reeds (in het eerste lid) dat het Intermutualistisch Agentschap als doel heeft de door de verzekeringsinstellingen verzamelde gegevens te analyseren in het kader van hun opdrachten en de informatie hieromtrent te verstrekken. Dat artikel 278 wordt nu dus verder aangevuld met het oog op de finaliteit ter zake. De  wettelijke verankering van deze bevoegdheid vermijdt daarenboven ook dat deze bevoegdheid in vraag zou worden gesteld in het kader van juridische procedures ingesteld door geviseerde zorgverleners.</w:t>
            </w:r>
          </w:p>
        </w:tc>
      </w:tr>
      <w:tr w:rsidR="00477C89" w:rsidRPr="008547A0" w14:paraId="15F597FE" w14:textId="77777777" w:rsidTr="005F50EE">
        <w:tc>
          <w:tcPr>
            <w:tcW w:w="5104" w:type="dxa"/>
          </w:tcPr>
          <w:p w14:paraId="4ABF69DA" w14:textId="77777777" w:rsidR="00477C89" w:rsidRPr="00B91A7E" w:rsidRDefault="00477C89"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C4CB62D" w14:textId="77777777" w:rsidR="00477C89" w:rsidRPr="00B91A7E" w:rsidRDefault="00477C89" w:rsidP="00477C89">
            <w:pPr>
              <w:tabs>
                <w:tab w:val="left" w:pos="2925"/>
              </w:tabs>
              <w:spacing w:after="0" w:line="240" w:lineRule="auto"/>
              <w:ind w:firstLine="708"/>
              <w:jc w:val="both"/>
              <w:rPr>
                <w:rFonts w:ascii="Arial" w:hAnsi="Arial" w:cs="Arial"/>
                <w:lang w:val="nl-NL"/>
              </w:rPr>
            </w:pPr>
          </w:p>
        </w:tc>
      </w:tr>
      <w:tr w:rsidR="00477C89" w:rsidRPr="008547A0" w14:paraId="3AA9F0CA" w14:textId="77777777" w:rsidTr="005F50EE">
        <w:tc>
          <w:tcPr>
            <w:tcW w:w="5104" w:type="dxa"/>
          </w:tcPr>
          <w:p w14:paraId="199EAAED" w14:textId="31745215" w:rsidR="00477C89" w:rsidRPr="001B5F69" w:rsidRDefault="00477C89" w:rsidP="00477C89">
            <w:pPr>
              <w:tabs>
                <w:tab w:val="left" w:pos="4468"/>
                <w:tab w:val="left" w:pos="5643"/>
                <w:tab w:val="left" w:pos="9747"/>
              </w:tabs>
              <w:spacing w:after="0" w:line="240" w:lineRule="auto"/>
              <w:jc w:val="both"/>
              <w:rPr>
                <w:rFonts w:ascii="Arial" w:hAnsi="Arial" w:cs="Arial"/>
                <w:lang w:val="fr-FR"/>
              </w:rPr>
            </w:pPr>
            <w:r w:rsidRPr="001B5F69">
              <w:rPr>
                <w:rFonts w:ascii="Arial" w:hAnsi="Arial" w:cs="Arial"/>
                <w:lang w:val="fr-FR"/>
              </w:rPr>
              <w:t>Enfin, cet article comporte quelques adaptions formelles (nouvelles dénominations des instances concernées et une adaptation du renvoi suite à l’introduction d’un nouvel alinéa).</w:t>
            </w:r>
          </w:p>
        </w:tc>
        <w:tc>
          <w:tcPr>
            <w:tcW w:w="5104" w:type="dxa"/>
          </w:tcPr>
          <w:p w14:paraId="770FF7FF" w14:textId="6CE1E5AC" w:rsidR="00477C89" w:rsidRPr="00B91A7E" w:rsidRDefault="00477C89" w:rsidP="00477C89">
            <w:pPr>
              <w:tabs>
                <w:tab w:val="left" w:pos="2925"/>
              </w:tabs>
              <w:spacing w:after="0" w:line="240" w:lineRule="auto"/>
              <w:jc w:val="both"/>
              <w:rPr>
                <w:rFonts w:ascii="Arial" w:hAnsi="Arial" w:cs="Arial"/>
                <w:lang w:val="nl-NL"/>
              </w:rPr>
            </w:pPr>
            <w:r w:rsidRPr="00862E99">
              <w:rPr>
                <w:rFonts w:ascii="Arial" w:hAnsi="Arial" w:cs="Arial"/>
                <w:lang w:val="nl-NL"/>
              </w:rPr>
              <w:t>Tenslotte bevat dit artikel ook nog enkele vormelijke wijzigingen (nieuwe benamingen van de desbetreffende instanties en een aanpassing van een verwijzing ten gevolge van het invoegen van een nieuw lid).</w:t>
            </w:r>
          </w:p>
        </w:tc>
      </w:tr>
      <w:tr w:rsidR="00B25FF2" w:rsidRPr="008547A0" w14:paraId="5610250F" w14:textId="77777777" w:rsidTr="005F50EE">
        <w:tc>
          <w:tcPr>
            <w:tcW w:w="5104" w:type="dxa"/>
          </w:tcPr>
          <w:p w14:paraId="2F3C1928" w14:textId="77777777" w:rsidR="00B25FF2" w:rsidRPr="005F50EE" w:rsidRDefault="00B25FF2"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F9DDC10" w14:textId="77777777" w:rsidR="00B25FF2" w:rsidRPr="00862E99" w:rsidRDefault="00B25FF2" w:rsidP="00477C89">
            <w:pPr>
              <w:tabs>
                <w:tab w:val="left" w:pos="2925"/>
              </w:tabs>
              <w:spacing w:after="0" w:line="240" w:lineRule="auto"/>
              <w:jc w:val="both"/>
              <w:rPr>
                <w:rFonts w:ascii="Arial" w:hAnsi="Arial" w:cs="Arial"/>
                <w:lang w:val="nl-NL"/>
              </w:rPr>
            </w:pPr>
          </w:p>
        </w:tc>
      </w:tr>
      <w:tr w:rsidR="00B25FF2" w:rsidRPr="00EE6F91" w14:paraId="2727FB90" w14:textId="77777777" w:rsidTr="005F50EE">
        <w:tc>
          <w:tcPr>
            <w:tcW w:w="5104" w:type="dxa"/>
          </w:tcPr>
          <w:p w14:paraId="3B4C3D2B" w14:textId="16FEF266" w:rsidR="00B25FF2" w:rsidRPr="00EE6F91" w:rsidRDefault="00B25FF2" w:rsidP="002A7C6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+60</w:t>
            </w:r>
          </w:p>
        </w:tc>
        <w:tc>
          <w:tcPr>
            <w:tcW w:w="5104" w:type="dxa"/>
          </w:tcPr>
          <w:p w14:paraId="76D3671F" w14:textId="17B977FD" w:rsidR="00B25FF2" w:rsidRPr="00EE6F91" w:rsidRDefault="00B25FF2" w:rsidP="002A7C6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+60</w:t>
            </w:r>
          </w:p>
        </w:tc>
      </w:tr>
      <w:tr w:rsidR="00B25FF2" w:rsidRPr="007B5503" w14:paraId="22895901" w14:textId="77777777" w:rsidTr="005F50EE">
        <w:tc>
          <w:tcPr>
            <w:tcW w:w="5104" w:type="dxa"/>
          </w:tcPr>
          <w:p w14:paraId="55361ECB" w14:textId="77777777" w:rsidR="00B25FF2" w:rsidRPr="001B5F69" w:rsidRDefault="00B25FF2" w:rsidP="00477C89">
            <w:pPr>
              <w:tabs>
                <w:tab w:val="left" w:pos="4468"/>
                <w:tab w:val="left" w:pos="5643"/>
                <w:tab w:val="left" w:pos="9747"/>
              </w:tabs>
              <w:spacing w:after="0" w:line="240" w:lineRule="auto"/>
              <w:jc w:val="both"/>
              <w:rPr>
                <w:rFonts w:ascii="Arial" w:hAnsi="Arial" w:cs="Arial"/>
                <w:lang w:val="fr-FR"/>
              </w:rPr>
            </w:pPr>
          </w:p>
        </w:tc>
        <w:tc>
          <w:tcPr>
            <w:tcW w:w="5104" w:type="dxa"/>
          </w:tcPr>
          <w:p w14:paraId="18482392" w14:textId="77777777" w:rsidR="00B25FF2" w:rsidRPr="00862E99" w:rsidRDefault="00B25FF2" w:rsidP="00477C89">
            <w:pPr>
              <w:tabs>
                <w:tab w:val="left" w:pos="2925"/>
              </w:tabs>
              <w:spacing w:after="0" w:line="240" w:lineRule="auto"/>
              <w:jc w:val="both"/>
              <w:rPr>
                <w:rFonts w:ascii="Arial" w:hAnsi="Arial" w:cs="Arial"/>
                <w:lang w:val="nl-NL"/>
              </w:rPr>
            </w:pPr>
          </w:p>
        </w:tc>
      </w:tr>
      <w:tr w:rsidR="00B25FF2" w:rsidRPr="000813EB" w14:paraId="7191F771" w14:textId="77777777" w:rsidTr="005F50EE">
        <w:tc>
          <w:tcPr>
            <w:tcW w:w="5104" w:type="dxa"/>
          </w:tcPr>
          <w:p w14:paraId="4443F450" w14:textId="1A2E2C34" w:rsidR="00B25FF2" w:rsidRPr="00B25FF2" w:rsidRDefault="00B25FF2" w:rsidP="00B25FF2">
            <w:pPr>
              <w:tabs>
                <w:tab w:val="left" w:pos="4468"/>
                <w:tab w:val="left" w:pos="5643"/>
                <w:tab w:val="left" w:pos="9747"/>
              </w:tabs>
              <w:spacing w:after="0" w:line="240" w:lineRule="auto"/>
              <w:jc w:val="both"/>
              <w:rPr>
                <w:rFonts w:ascii="Arial" w:hAnsi="Arial" w:cs="Arial"/>
                <w:lang w:val="fr-FR"/>
              </w:rPr>
            </w:pPr>
            <w:r w:rsidRPr="00B25FF2">
              <w:rPr>
                <w:rFonts w:ascii="Arial" w:hAnsi="Arial" w:cs="Arial"/>
                <w:lang w:val="fr-FR"/>
              </w:rPr>
              <w:t>Cet article prévoit également des modifications formelles de l'article 279 de la loi-programme.</w:t>
            </w:r>
          </w:p>
        </w:tc>
        <w:tc>
          <w:tcPr>
            <w:tcW w:w="5104" w:type="dxa"/>
          </w:tcPr>
          <w:p w14:paraId="7E006E3C" w14:textId="19A81CE3" w:rsidR="00B25FF2" w:rsidRPr="00862E99" w:rsidRDefault="00B25FF2" w:rsidP="00B25FF2">
            <w:pPr>
              <w:tabs>
                <w:tab w:val="left" w:pos="2925"/>
              </w:tabs>
              <w:spacing w:after="0" w:line="240" w:lineRule="auto"/>
              <w:jc w:val="both"/>
              <w:rPr>
                <w:rFonts w:ascii="Arial" w:hAnsi="Arial" w:cs="Arial"/>
                <w:lang w:val="nl-NL"/>
              </w:rPr>
            </w:pPr>
            <w:r w:rsidRPr="00B25FF2">
              <w:rPr>
                <w:rFonts w:ascii="Arial" w:hAnsi="Arial" w:cs="Arial"/>
                <w:lang w:val="nl-NL"/>
              </w:rPr>
              <w:t>Dit artikel voorziet eveneens in vormelijke wijzigingen in het artikel 279 van de programmawet.</w:t>
            </w:r>
          </w:p>
        </w:tc>
      </w:tr>
      <w:tr w:rsidR="00B25FF2" w:rsidRPr="000813EB" w14:paraId="14F80647" w14:textId="77777777" w:rsidTr="005F50EE">
        <w:tc>
          <w:tcPr>
            <w:tcW w:w="5104" w:type="dxa"/>
          </w:tcPr>
          <w:p w14:paraId="36A6B2B1" w14:textId="77777777" w:rsidR="00B25FF2" w:rsidRPr="00B25FF2" w:rsidRDefault="00B25FF2"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3421EFC4" w14:textId="77777777" w:rsidR="00B25FF2" w:rsidRPr="00862E99" w:rsidRDefault="00B25FF2" w:rsidP="00477C89">
            <w:pPr>
              <w:tabs>
                <w:tab w:val="left" w:pos="2925"/>
              </w:tabs>
              <w:spacing w:after="0" w:line="240" w:lineRule="auto"/>
              <w:jc w:val="both"/>
              <w:rPr>
                <w:rFonts w:ascii="Arial" w:hAnsi="Arial" w:cs="Arial"/>
                <w:lang w:val="nl-NL"/>
              </w:rPr>
            </w:pPr>
          </w:p>
        </w:tc>
      </w:tr>
      <w:tr w:rsidR="00B25FF2" w:rsidRPr="00EE6F91" w14:paraId="01C868E7" w14:textId="77777777" w:rsidTr="005F50EE">
        <w:tc>
          <w:tcPr>
            <w:tcW w:w="5104" w:type="dxa"/>
          </w:tcPr>
          <w:p w14:paraId="63DE0FCD" w14:textId="24487C33" w:rsidR="00B25FF2" w:rsidRPr="00EE6F91" w:rsidRDefault="00B25FF2" w:rsidP="002A7C6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+61</w:t>
            </w:r>
          </w:p>
        </w:tc>
        <w:tc>
          <w:tcPr>
            <w:tcW w:w="5104" w:type="dxa"/>
          </w:tcPr>
          <w:p w14:paraId="59112514" w14:textId="414FEF7B" w:rsidR="00B25FF2" w:rsidRPr="00EE6F91" w:rsidRDefault="00B25FF2" w:rsidP="002A7C6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+61</w:t>
            </w:r>
          </w:p>
        </w:tc>
      </w:tr>
      <w:tr w:rsidR="00B25FF2" w:rsidRPr="007B5503" w14:paraId="2391EF57" w14:textId="77777777" w:rsidTr="005F50EE">
        <w:tc>
          <w:tcPr>
            <w:tcW w:w="5104" w:type="dxa"/>
          </w:tcPr>
          <w:p w14:paraId="7B8AF033" w14:textId="77777777" w:rsidR="00B25FF2" w:rsidRPr="00B25FF2" w:rsidRDefault="00B25FF2"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1C2DC958" w14:textId="77777777" w:rsidR="00B25FF2" w:rsidRPr="00862E99" w:rsidRDefault="00B25FF2" w:rsidP="00477C89">
            <w:pPr>
              <w:tabs>
                <w:tab w:val="left" w:pos="2925"/>
              </w:tabs>
              <w:spacing w:after="0" w:line="240" w:lineRule="auto"/>
              <w:jc w:val="both"/>
              <w:rPr>
                <w:rFonts w:ascii="Arial" w:hAnsi="Arial" w:cs="Arial"/>
                <w:lang w:val="nl-NL"/>
              </w:rPr>
            </w:pPr>
          </w:p>
        </w:tc>
      </w:tr>
      <w:tr w:rsidR="00B25FF2" w:rsidRPr="000813EB" w14:paraId="665FE9EF" w14:textId="77777777" w:rsidTr="005F50EE">
        <w:tc>
          <w:tcPr>
            <w:tcW w:w="5104" w:type="dxa"/>
          </w:tcPr>
          <w:p w14:paraId="2302A87C" w14:textId="445FA781" w:rsidR="00B25FF2" w:rsidRPr="00B25FF2" w:rsidRDefault="00B25FF2" w:rsidP="00B25FF2">
            <w:pPr>
              <w:tabs>
                <w:tab w:val="left" w:pos="4468"/>
                <w:tab w:val="left" w:pos="5643"/>
                <w:tab w:val="left" w:pos="9747"/>
              </w:tabs>
              <w:spacing w:after="0" w:line="240" w:lineRule="auto"/>
              <w:jc w:val="both"/>
              <w:rPr>
                <w:rFonts w:ascii="Arial" w:hAnsi="Arial" w:cs="Arial"/>
                <w:lang w:val="fr-FR"/>
              </w:rPr>
            </w:pPr>
            <w:r w:rsidRPr="00B25FF2">
              <w:rPr>
                <w:rFonts w:ascii="Arial" w:hAnsi="Arial" w:cs="Arial"/>
                <w:lang w:val="fr-FR"/>
              </w:rPr>
              <w:t>Cet article prévoit également des modifications formelles de l'article 285 de la loi-programme.</w:t>
            </w:r>
          </w:p>
        </w:tc>
        <w:tc>
          <w:tcPr>
            <w:tcW w:w="5104" w:type="dxa"/>
          </w:tcPr>
          <w:p w14:paraId="380657B7" w14:textId="03C9F06E" w:rsidR="00B25FF2" w:rsidRPr="00862E99" w:rsidRDefault="00B25FF2" w:rsidP="00477C89">
            <w:pPr>
              <w:tabs>
                <w:tab w:val="left" w:pos="2925"/>
              </w:tabs>
              <w:spacing w:after="0" w:line="240" w:lineRule="auto"/>
              <w:jc w:val="both"/>
              <w:rPr>
                <w:rFonts w:ascii="Arial" w:hAnsi="Arial" w:cs="Arial"/>
                <w:lang w:val="nl-NL"/>
              </w:rPr>
            </w:pPr>
            <w:r w:rsidRPr="00B25FF2">
              <w:rPr>
                <w:rFonts w:ascii="Arial" w:hAnsi="Arial" w:cs="Arial"/>
                <w:lang w:val="nl-NL"/>
              </w:rPr>
              <w:t>Dit artikel voorziet eveneens in vormelijke wijzigingen in het artikel 285 van de programmawet.</w:t>
            </w:r>
          </w:p>
        </w:tc>
      </w:tr>
      <w:tr w:rsidR="00B25FF2" w:rsidRPr="000813EB" w14:paraId="0B43D42A" w14:textId="77777777" w:rsidTr="005F50EE">
        <w:tc>
          <w:tcPr>
            <w:tcW w:w="5104" w:type="dxa"/>
          </w:tcPr>
          <w:p w14:paraId="47F2B985" w14:textId="77777777" w:rsidR="00B25FF2" w:rsidRPr="00B25FF2" w:rsidRDefault="00B25FF2"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45C40014" w14:textId="77777777" w:rsidR="00B25FF2" w:rsidRPr="00862E99" w:rsidRDefault="00B25FF2" w:rsidP="00477C89">
            <w:pPr>
              <w:tabs>
                <w:tab w:val="left" w:pos="2925"/>
              </w:tabs>
              <w:spacing w:after="0" w:line="240" w:lineRule="auto"/>
              <w:jc w:val="both"/>
              <w:rPr>
                <w:rFonts w:ascii="Arial" w:hAnsi="Arial" w:cs="Arial"/>
                <w:lang w:val="nl-NL"/>
              </w:rPr>
            </w:pPr>
          </w:p>
        </w:tc>
      </w:tr>
      <w:tr w:rsidR="00B25FF2" w:rsidRPr="00EE6F91" w14:paraId="5BC61C48" w14:textId="77777777" w:rsidTr="005F50EE">
        <w:tc>
          <w:tcPr>
            <w:tcW w:w="5104" w:type="dxa"/>
          </w:tcPr>
          <w:p w14:paraId="5DFE09DC" w14:textId="2E0404E2" w:rsidR="00B25FF2" w:rsidRPr="00EE6F91" w:rsidRDefault="00B25FF2" w:rsidP="002A7C6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+62</w:t>
            </w:r>
          </w:p>
        </w:tc>
        <w:tc>
          <w:tcPr>
            <w:tcW w:w="5104" w:type="dxa"/>
          </w:tcPr>
          <w:p w14:paraId="75CD3062" w14:textId="455EEFB8" w:rsidR="00B25FF2" w:rsidRPr="00EE6F91" w:rsidRDefault="00B25FF2" w:rsidP="002A7C60">
            <w:pPr>
              <w:tabs>
                <w:tab w:val="left" w:pos="4468"/>
                <w:tab w:val="left" w:pos="5643"/>
                <w:tab w:val="left" w:pos="9747"/>
              </w:tabs>
              <w:spacing w:after="0" w:line="240" w:lineRule="auto"/>
              <w:jc w:val="center"/>
              <w:rPr>
                <w:rFonts w:ascii="Arial" w:hAnsi="Arial" w:cs="Arial"/>
                <w:b/>
                <w:bCs/>
                <w:lang w:val="nl-NL"/>
              </w:rPr>
            </w:pPr>
            <w:r w:rsidRPr="00EE6F91">
              <w:rPr>
                <w:rFonts w:ascii="Arial" w:hAnsi="Arial" w:cs="Arial"/>
                <w:b/>
                <w:bCs/>
                <w:lang w:val="nl-NL"/>
              </w:rPr>
              <w:t>Art. X</w:t>
            </w:r>
            <w:r>
              <w:rPr>
                <w:rFonts w:ascii="Arial" w:hAnsi="Arial" w:cs="Arial"/>
                <w:b/>
                <w:bCs/>
                <w:lang w:val="nl-NL"/>
              </w:rPr>
              <w:t>+62</w:t>
            </w:r>
          </w:p>
        </w:tc>
      </w:tr>
      <w:tr w:rsidR="00B25FF2" w:rsidRPr="007B5503" w14:paraId="5F988740" w14:textId="77777777" w:rsidTr="005F50EE">
        <w:tc>
          <w:tcPr>
            <w:tcW w:w="5104" w:type="dxa"/>
          </w:tcPr>
          <w:p w14:paraId="6BB1E3BE" w14:textId="77777777" w:rsidR="00B25FF2" w:rsidRPr="00B25FF2" w:rsidRDefault="00B25FF2" w:rsidP="00477C89">
            <w:pPr>
              <w:tabs>
                <w:tab w:val="left" w:pos="4468"/>
                <w:tab w:val="left" w:pos="5643"/>
                <w:tab w:val="left" w:pos="9747"/>
              </w:tabs>
              <w:spacing w:after="0" w:line="240" w:lineRule="auto"/>
              <w:jc w:val="both"/>
              <w:rPr>
                <w:rFonts w:ascii="Arial" w:hAnsi="Arial" w:cs="Arial"/>
                <w:lang w:val="nl-NL"/>
              </w:rPr>
            </w:pPr>
          </w:p>
        </w:tc>
        <w:tc>
          <w:tcPr>
            <w:tcW w:w="5104" w:type="dxa"/>
          </w:tcPr>
          <w:p w14:paraId="227AE464" w14:textId="77777777" w:rsidR="00B25FF2" w:rsidRPr="00862E99" w:rsidRDefault="00B25FF2" w:rsidP="00477C89">
            <w:pPr>
              <w:tabs>
                <w:tab w:val="left" w:pos="2925"/>
              </w:tabs>
              <w:spacing w:after="0" w:line="240" w:lineRule="auto"/>
              <w:jc w:val="both"/>
              <w:rPr>
                <w:rFonts w:ascii="Arial" w:hAnsi="Arial" w:cs="Arial"/>
                <w:lang w:val="nl-NL"/>
              </w:rPr>
            </w:pPr>
          </w:p>
        </w:tc>
      </w:tr>
      <w:tr w:rsidR="00B25FF2" w:rsidRPr="000813EB" w14:paraId="3303B24E" w14:textId="77777777" w:rsidTr="005F50EE">
        <w:tc>
          <w:tcPr>
            <w:tcW w:w="5104" w:type="dxa"/>
          </w:tcPr>
          <w:p w14:paraId="3DA12807" w14:textId="633FBE54" w:rsidR="00B25FF2" w:rsidRPr="005F50EE" w:rsidRDefault="00B25FF2" w:rsidP="00477C89">
            <w:pPr>
              <w:tabs>
                <w:tab w:val="left" w:pos="4468"/>
                <w:tab w:val="left" w:pos="5643"/>
                <w:tab w:val="left" w:pos="9747"/>
              </w:tabs>
              <w:spacing w:after="0" w:line="240" w:lineRule="auto"/>
              <w:jc w:val="both"/>
              <w:rPr>
                <w:rFonts w:ascii="Arial" w:hAnsi="Arial" w:cs="Arial"/>
                <w:lang w:val="fr-FR"/>
              </w:rPr>
            </w:pPr>
            <w:r w:rsidRPr="00B25FF2">
              <w:rPr>
                <w:rFonts w:ascii="Arial" w:hAnsi="Arial" w:cs="Arial"/>
                <w:lang w:val="fr-FR"/>
              </w:rPr>
              <w:t>Cet article prévoit également des modifications formelles de l'article 296 de la loi-programme.</w:t>
            </w:r>
            <w:r w:rsidRPr="00B25FF2">
              <w:rPr>
                <w:rFonts w:ascii="Arial" w:hAnsi="Arial" w:cs="Arial"/>
                <w:lang w:val="fr-FR"/>
              </w:rPr>
              <w:tab/>
            </w:r>
          </w:p>
        </w:tc>
        <w:tc>
          <w:tcPr>
            <w:tcW w:w="5104" w:type="dxa"/>
          </w:tcPr>
          <w:p w14:paraId="6A895EB8" w14:textId="1F7586FE" w:rsidR="00B25FF2" w:rsidRPr="00862E99" w:rsidRDefault="00B25FF2" w:rsidP="00477C89">
            <w:pPr>
              <w:tabs>
                <w:tab w:val="left" w:pos="2925"/>
              </w:tabs>
              <w:spacing w:after="0" w:line="240" w:lineRule="auto"/>
              <w:jc w:val="both"/>
              <w:rPr>
                <w:rFonts w:ascii="Arial" w:hAnsi="Arial" w:cs="Arial"/>
                <w:lang w:val="nl-NL"/>
              </w:rPr>
            </w:pPr>
            <w:r w:rsidRPr="00B25FF2">
              <w:rPr>
                <w:rFonts w:ascii="Arial" w:hAnsi="Arial" w:cs="Arial"/>
                <w:lang w:val="nl-NL"/>
              </w:rPr>
              <w:t>Dit artikel voorziet eveneens in vormelijke wijzigingen in het artikel 296 van de programmawet.</w:t>
            </w:r>
          </w:p>
        </w:tc>
      </w:tr>
    </w:tbl>
    <w:p w14:paraId="2A7DD94A" w14:textId="77777777" w:rsidR="00B00B9A" w:rsidRPr="00B91A7E" w:rsidRDefault="00B00B9A" w:rsidP="001E0078">
      <w:pPr>
        <w:spacing w:after="0" w:line="240" w:lineRule="auto"/>
        <w:rPr>
          <w:rFonts w:ascii="Arial" w:hAnsi="Arial" w:cs="Arial"/>
          <w:lang w:val="nl-NL"/>
        </w:rPr>
      </w:pPr>
    </w:p>
    <w:sectPr w:rsidR="00B00B9A" w:rsidRPr="00B91A7E">
      <w:headerReference w:type="default" r:id="rId15"/>
      <w:footerReference w:type="defaul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lle Burnay (RIZIV-INAMI)" w:date="2025-04-17T13:28:00Z" w:initials="MB">
    <w:p w14:paraId="564FE752" w14:textId="77777777" w:rsidR="004722CA" w:rsidRDefault="004722CA" w:rsidP="004722CA">
      <w:pPr>
        <w:pStyle w:val="Tekstopmerking"/>
      </w:pPr>
      <w:r>
        <w:rPr>
          <w:rStyle w:val="Verwijzingopmerking"/>
        </w:rPr>
        <w:annotationRef/>
      </w:r>
      <w:r>
        <w:t>2025/007</w:t>
      </w:r>
    </w:p>
  </w:comment>
  <w:comment w:id="2" w:author="Marielle Burnay (RIZIV-INAMI)" w:date="2025-04-17T13:28:00Z" w:initials="MB">
    <w:p w14:paraId="64634B74" w14:textId="302CA687" w:rsidR="00477C89" w:rsidRDefault="00477C89" w:rsidP="004722CA">
      <w:pPr>
        <w:pStyle w:val="Tekstopmerking"/>
      </w:pPr>
      <w:r>
        <w:rPr>
          <w:rStyle w:val="Verwijzingopmerking"/>
        </w:rPr>
        <w:annotationRef/>
      </w:r>
      <w:r>
        <w:t>2018/034</w:t>
      </w:r>
    </w:p>
  </w:comment>
  <w:comment w:id="4" w:author="Marielle Burnay (RIZIV-INAMI)" w:date="2025-04-10T14:49:00Z" w:initials="MB">
    <w:p w14:paraId="413AD6FF" w14:textId="008BC90D" w:rsidR="00477C89" w:rsidRDefault="00477C89" w:rsidP="000E19FE">
      <w:pPr>
        <w:pStyle w:val="Tekstopmerking"/>
      </w:pPr>
      <w:r>
        <w:rPr>
          <w:rStyle w:val="Verwijzingopmerking"/>
        </w:rPr>
        <w:annotationRef/>
      </w:r>
      <w:r>
        <w:t>2018/034</w:t>
      </w:r>
    </w:p>
  </w:comment>
  <w:comment w:id="5" w:author="Marielle Burnay (RIZIV-INAMI)" w:date="2025-05-27T10:24:00Z" w:initials="MB">
    <w:p w14:paraId="3CD29458" w14:textId="77777777" w:rsidR="00477C89" w:rsidRDefault="00477C89" w:rsidP="00271A69">
      <w:pPr>
        <w:pStyle w:val="Tekstopmerking"/>
      </w:pPr>
      <w:r>
        <w:rPr>
          <w:rStyle w:val="Verwijzingopmerking"/>
        </w:rPr>
        <w:annotationRef/>
      </w:r>
      <w:r>
        <w:t>2025/023</w:t>
      </w:r>
    </w:p>
  </w:comment>
  <w:comment w:id="6" w:author="Marielle Burnay (RIZIV-INAMI)" w:date="2025-04-10T14:49:00Z" w:initials="MB">
    <w:p w14:paraId="65F28897" w14:textId="0C8143AF" w:rsidR="00477C89" w:rsidRDefault="00477C89" w:rsidP="00CC7D0B">
      <w:pPr>
        <w:pStyle w:val="Tekstopmerking"/>
      </w:pPr>
      <w:r>
        <w:rPr>
          <w:rStyle w:val="Verwijzingopmerking"/>
        </w:rPr>
        <w:annotationRef/>
      </w:r>
      <w:r>
        <w:t>2021/031</w:t>
      </w:r>
    </w:p>
  </w:comment>
  <w:comment w:id="9" w:author="Marielle Burnay (RIZIV-INAMI)" w:date="2025-04-10T17:37:00Z" w:initials="MB">
    <w:p w14:paraId="663BC805" w14:textId="77777777" w:rsidR="00477C89" w:rsidRDefault="00477C89" w:rsidP="00A77E91">
      <w:pPr>
        <w:pStyle w:val="Tekstopmerking"/>
      </w:pPr>
      <w:r>
        <w:rPr>
          <w:rStyle w:val="Verwijzingopmerking"/>
        </w:rPr>
        <w:annotationRef/>
      </w:r>
      <w:r>
        <w:t>2025/008</w:t>
      </w:r>
    </w:p>
  </w:comment>
  <w:comment w:id="11" w:author="Marielle Burnay (RIZIV-INAMI)" w:date="2025-04-10T14:36:00Z" w:initials="MB">
    <w:p w14:paraId="3D247F59" w14:textId="77777777" w:rsidR="00477C89" w:rsidRDefault="00477C89" w:rsidP="00FE42AD">
      <w:pPr>
        <w:pStyle w:val="Tekstopmerking"/>
      </w:pPr>
      <w:r>
        <w:rPr>
          <w:rStyle w:val="Verwijzingopmerking"/>
        </w:rPr>
        <w:annotationRef/>
      </w:r>
      <w:r>
        <w:t>2025/009</w:t>
      </w:r>
    </w:p>
  </w:comment>
  <w:comment w:id="13" w:author="Marielle Burnay (RIZIV-INAMI)" w:date="2025-04-10T14:36:00Z" w:initials="MB">
    <w:p w14:paraId="033D9EB7" w14:textId="01AA3EFF" w:rsidR="00477C89" w:rsidRDefault="00477C89" w:rsidP="00FE42AD">
      <w:pPr>
        <w:pStyle w:val="Tekstopmerking"/>
      </w:pPr>
      <w:r>
        <w:rPr>
          <w:rStyle w:val="Verwijzingopmerking"/>
        </w:rPr>
        <w:annotationRef/>
      </w:r>
      <w:r>
        <w:t>2018/049</w:t>
      </w:r>
    </w:p>
  </w:comment>
  <w:comment w:id="16" w:author="Marielle Burnay (RIZIV-INAMI)" w:date="2025-04-10T14:36:00Z" w:initials="MB">
    <w:p w14:paraId="6B8BC16E" w14:textId="7CDA348A" w:rsidR="00477C89" w:rsidRDefault="00477C89" w:rsidP="00C51760">
      <w:pPr>
        <w:pStyle w:val="Tekstopmerking"/>
      </w:pPr>
      <w:r>
        <w:rPr>
          <w:rStyle w:val="Verwijzingopmerking"/>
        </w:rPr>
        <w:annotationRef/>
      </w:r>
      <w:r>
        <w:t>2025/010</w:t>
      </w:r>
    </w:p>
  </w:comment>
  <w:comment w:id="18" w:author="Marielle Burnay (RIZIV-INAMI)" w:date="2025-04-10T14:36:00Z" w:initials="MB">
    <w:p w14:paraId="23B3B741" w14:textId="77777777" w:rsidR="00477C89" w:rsidRDefault="00477C89" w:rsidP="00C51760">
      <w:pPr>
        <w:pStyle w:val="Tekstopmerking"/>
      </w:pPr>
      <w:r>
        <w:rPr>
          <w:rStyle w:val="Verwijzingopmerking"/>
        </w:rPr>
        <w:annotationRef/>
      </w:r>
      <w:r>
        <w:t>2025/011</w:t>
      </w:r>
    </w:p>
  </w:comment>
  <w:comment w:id="19" w:author="Marielle Burnay (RIZIV-INAMI)" w:date="2025-04-14T16:36:00Z" w:initials="MB">
    <w:p w14:paraId="0CAB7B0D" w14:textId="77777777" w:rsidR="00477C89" w:rsidRDefault="00477C89" w:rsidP="00CB42EB">
      <w:pPr>
        <w:pStyle w:val="Tekstopmerking"/>
      </w:pPr>
      <w:r>
        <w:rPr>
          <w:rStyle w:val="Verwijzingopmerking"/>
        </w:rPr>
        <w:annotationRef/>
      </w:r>
      <w:r>
        <w:t>2025/015cm</w:t>
      </w:r>
    </w:p>
  </w:comment>
  <w:comment w:id="20" w:author="Marielle Burnay (RIZIV-INAMI)" w:date="2025-04-14T16:34:00Z" w:initials="MB">
    <w:p w14:paraId="71440AB1" w14:textId="77777777" w:rsidR="00477C89" w:rsidRDefault="00477C89" w:rsidP="00DF0C6E">
      <w:pPr>
        <w:pStyle w:val="Tekstopmerking"/>
      </w:pPr>
      <w:r>
        <w:rPr>
          <w:rStyle w:val="Verwijzingopmerking"/>
        </w:rPr>
        <w:annotationRef/>
      </w:r>
      <w:r>
        <w:t>2023/023sgcm</w:t>
      </w:r>
    </w:p>
  </w:comment>
  <w:comment w:id="21" w:author="Marielle Burnay (RIZIV-INAMI)" w:date="2025-04-14T16:48:00Z" w:initials="MB">
    <w:p w14:paraId="48754DA4" w14:textId="77777777" w:rsidR="00477C89" w:rsidRDefault="00477C89" w:rsidP="008E1CF1">
      <w:pPr>
        <w:pStyle w:val="Tekstopmerking"/>
      </w:pPr>
      <w:r>
        <w:rPr>
          <w:rStyle w:val="Verwijzingopmerking"/>
        </w:rPr>
        <w:annotationRef/>
      </w:r>
      <w:r>
        <w:t>2023/011cm</w:t>
      </w:r>
    </w:p>
  </w:comment>
  <w:comment w:id="22" w:author="Marielle Burnay (RIZIV-INAMI)" w:date="2025-04-14T16:51:00Z" w:initials="MB">
    <w:p w14:paraId="0EBA51F6" w14:textId="77777777" w:rsidR="00477C89" w:rsidRDefault="00477C89" w:rsidP="008E1CF1">
      <w:pPr>
        <w:pStyle w:val="Tekstopmerking"/>
      </w:pPr>
      <w:r>
        <w:rPr>
          <w:rStyle w:val="Verwijzingopmerking"/>
        </w:rPr>
        <w:annotationRef/>
      </w:r>
      <w:r>
        <w:t>2023/015cm</w:t>
      </w:r>
    </w:p>
  </w:comment>
  <w:comment w:id="24" w:author="Marielle Burnay (RIZIV-INAMI)" w:date="2025-04-14T16:18:00Z" w:initials="MB">
    <w:p w14:paraId="1EED59BE" w14:textId="5EDCD144" w:rsidR="00477C89" w:rsidRDefault="00477C89" w:rsidP="00371224">
      <w:pPr>
        <w:pStyle w:val="Tekstopmerking"/>
      </w:pPr>
      <w:r>
        <w:rPr>
          <w:rStyle w:val="Verwijzingopmerking"/>
        </w:rPr>
        <w:annotationRef/>
      </w:r>
      <w:r>
        <w:t>2025/019ca</w:t>
      </w:r>
    </w:p>
  </w:comment>
  <w:comment w:id="25" w:author="Marielle Burnay (RIZIV-INAMI)" w:date="2025-06-03T09:03:00Z" w:initials="MB">
    <w:p w14:paraId="48D1CD9F" w14:textId="77777777" w:rsidR="00477C89" w:rsidRDefault="00477C89" w:rsidP="00B94499">
      <w:pPr>
        <w:pStyle w:val="Tekstopmerking"/>
      </w:pPr>
      <w:r>
        <w:rPr>
          <w:rStyle w:val="Verwijzingopmerking"/>
        </w:rPr>
        <w:annotationRef/>
      </w:r>
      <w:r>
        <w:t>2025/027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4FE752" w15:done="0"/>
  <w15:commentEx w15:paraId="64634B74" w15:done="0"/>
  <w15:commentEx w15:paraId="413AD6FF" w15:done="0"/>
  <w15:commentEx w15:paraId="3CD29458" w15:done="0"/>
  <w15:commentEx w15:paraId="65F28897" w15:done="0"/>
  <w15:commentEx w15:paraId="663BC805" w15:done="0"/>
  <w15:commentEx w15:paraId="3D247F59" w15:done="0"/>
  <w15:commentEx w15:paraId="033D9EB7" w15:done="0"/>
  <w15:commentEx w15:paraId="6B8BC16E" w15:done="0"/>
  <w15:commentEx w15:paraId="23B3B741" w15:done="0"/>
  <w15:commentEx w15:paraId="0CAB7B0D" w15:done="0"/>
  <w15:commentEx w15:paraId="71440AB1" w15:done="0"/>
  <w15:commentEx w15:paraId="48754DA4" w15:done="0"/>
  <w15:commentEx w15:paraId="0EBA51F6" w15:done="0"/>
  <w15:commentEx w15:paraId="1EED59BE" w15:done="0"/>
  <w15:commentEx w15:paraId="48D1CD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9923A" w16cex:dateUtc="2025-04-17T11:28:00Z"/>
  <w16cex:commentExtensible w16cex:durableId="21E26651" w16cex:dateUtc="2025-04-17T11:28:00Z"/>
  <w16cex:commentExtensible w16cex:durableId="26356073" w16cex:dateUtc="2025-04-10T12:49:00Z"/>
  <w16cex:commentExtensible w16cex:durableId="044B9118" w16cex:dateUtc="2025-05-27T08:24:00Z"/>
  <w16cex:commentExtensible w16cex:durableId="6CF2FDB1" w16cex:dateUtc="2025-04-10T12:49:00Z"/>
  <w16cex:commentExtensible w16cex:durableId="62AF81F2" w16cex:dateUtc="2025-04-10T15:37:00Z"/>
  <w16cex:commentExtensible w16cex:durableId="66E49456" w16cex:dateUtc="2025-04-10T12:36:00Z"/>
  <w16cex:commentExtensible w16cex:durableId="0EE6C3B0" w16cex:dateUtc="2025-04-10T12:36:00Z"/>
  <w16cex:commentExtensible w16cex:durableId="014C962C" w16cex:dateUtc="2025-04-10T12:36:00Z"/>
  <w16cex:commentExtensible w16cex:durableId="656972FB" w16cex:dateUtc="2025-04-10T12:36:00Z"/>
  <w16cex:commentExtensible w16cex:durableId="7B9F63B0" w16cex:dateUtc="2025-04-14T14:36:00Z"/>
  <w16cex:commentExtensible w16cex:durableId="346CD1C3" w16cex:dateUtc="2025-04-14T14:34:00Z"/>
  <w16cex:commentExtensible w16cex:durableId="64BD0DEB" w16cex:dateUtc="2025-04-14T14:48:00Z"/>
  <w16cex:commentExtensible w16cex:durableId="41B7CE02" w16cex:dateUtc="2025-04-14T14:51:00Z"/>
  <w16cex:commentExtensible w16cex:durableId="73E5B1C2" w16cex:dateUtc="2025-04-14T14:18:00Z"/>
  <w16cex:commentExtensible w16cex:durableId="7DAB4667" w16cex:dateUtc="2025-06-03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4FE752" w16cid:durableId="2E29923A"/>
  <w16cid:commentId w16cid:paraId="64634B74" w16cid:durableId="21E26651"/>
  <w16cid:commentId w16cid:paraId="413AD6FF" w16cid:durableId="26356073"/>
  <w16cid:commentId w16cid:paraId="3CD29458" w16cid:durableId="044B9118"/>
  <w16cid:commentId w16cid:paraId="65F28897" w16cid:durableId="6CF2FDB1"/>
  <w16cid:commentId w16cid:paraId="663BC805" w16cid:durableId="62AF81F2"/>
  <w16cid:commentId w16cid:paraId="3D247F59" w16cid:durableId="66E49456"/>
  <w16cid:commentId w16cid:paraId="033D9EB7" w16cid:durableId="0EE6C3B0"/>
  <w16cid:commentId w16cid:paraId="6B8BC16E" w16cid:durableId="014C962C"/>
  <w16cid:commentId w16cid:paraId="23B3B741" w16cid:durableId="656972FB"/>
  <w16cid:commentId w16cid:paraId="0CAB7B0D" w16cid:durableId="7B9F63B0"/>
  <w16cid:commentId w16cid:paraId="71440AB1" w16cid:durableId="346CD1C3"/>
  <w16cid:commentId w16cid:paraId="48754DA4" w16cid:durableId="64BD0DEB"/>
  <w16cid:commentId w16cid:paraId="0EBA51F6" w16cid:durableId="41B7CE02"/>
  <w16cid:commentId w16cid:paraId="1EED59BE" w16cid:durableId="73E5B1C2"/>
  <w16cid:commentId w16cid:paraId="48D1CD9F" w16cid:durableId="7DAB4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2136" w14:textId="77777777" w:rsidR="000D6E0E" w:rsidRDefault="000D6E0E" w:rsidP="00DF011E">
      <w:pPr>
        <w:spacing w:after="0" w:line="240" w:lineRule="auto"/>
      </w:pPr>
      <w:r>
        <w:separator/>
      </w:r>
    </w:p>
  </w:endnote>
  <w:endnote w:type="continuationSeparator" w:id="0">
    <w:p w14:paraId="3A424B68" w14:textId="77777777" w:rsidR="000D6E0E" w:rsidRDefault="000D6E0E" w:rsidP="00DF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224052"/>
      <w:docPartObj>
        <w:docPartGallery w:val="Page Numbers (Bottom of Page)"/>
        <w:docPartUnique/>
      </w:docPartObj>
    </w:sdtPr>
    <w:sdtEndPr/>
    <w:sdtContent>
      <w:p w14:paraId="32086408" w14:textId="603BD0DD" w:rsidR="00DF011E" w:rsidRDefault="00DF011E">
        <w:pPr>
          <w:pStyle w:val="Voettekst"/>
          <w:jc w:val="center"/>
        </w:pPr>
        <w:r>
          <w:fldChar w:fldCharType="begin"/>
        </w:r>
        <w:r>
          <w:instrText>PAGE   \* MERGEFORMAT</w:instrText>
        </w:r>
        <w:r>
          <w:fldChar w:fldCharType="separate"/>
        </w:r>
        <w:r>
          <w:rPr>
            <w:lang w:val="fr-FR"/>
          </w:rPr>
          <w:t>2</w:t>
        </w:r>
        <w:r>
          <w:fldChar w:fldCharType="end"/>
        </w:r>
      </w:p>
    </w:sdtContent>
  </w:sdt>
  <w:p w14:paraId="489518F4" w14:textId="77777777" w:rsidR="00DF011E" w:rsidRDefault="00DF0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7948" w14:textId="77777777" w:rsidR="000D6E0E" w:rsidRDefault="000D6E0E" w:rsidP="00DF011E">
      <w:pPr>
        <w:spacing w:after="0" w:line="240" w:lineRule="auto"/>
      </w:pPr>
      <w:r>
        <w:separator/>
      </w:r>
    </w:p>
  </w:footnote>
  <w:footnote w:type="continuationSeparator" w:id="0">
    <w:p w14:paraId="07AFF5B5" w14:textId="77777777" w:rsidR="000D6E0E" w:rsidRDefault="000D6E0E" w:rsidP="00DF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9BD4" w14:textId="77777777" w:rsidR="00510097" w:rsidRDefault="005100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058"/>
    <w:multiLevelType w:val="hybridMultilevel"/>
    <w:tmpl w:val="5052EFE0"/>
    <w:lvl w:ilvl="0" w:tplc="B186D6F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203EF"/>
    <w:multiLevelType w:val="hybridMultilevel"/>
    <w:tmpl w:val="21F6500E"/>
    <w:lvl w:ilvl="0" w:tplc="080C0017">
      <w:start w:val="1"/>
      <w:numFmt w:val="lowerLetter"/>
      <w:lvlText w:val="%1)"/>
      <w:lvlJc w:val="left"/>
      <w:pPr>
        <w:ind w:left="1033" w:hanging="360"/>
      </w:pPr>
    </w:lvl>
    <w:lvl w:ilvl="1" w:tplc="080C0019" w:tentative="1">
      <w:start w:val="1"/>
      <w:numFmt w:val="lowerLetter"/>
      <w:lvlText w:val="%2."/>
      <w:lvlJc w:val="left"/>
      <w:pPr>
        <w:ind w:left="1753" w:hanging="360"/>
      </w:pPr>
    </w:lvl>
    <w:lvl w:ilvl="2" w:tplc="080C001B" w:tentative="1">
      <w:start w:val="1"/>
      <w:numFmt w:val="lowerRoman"/>
      <w:lvlText w:val="%3."/>
      <w:lvlJc w:val="right"/>
      <w:pPr>
        <w:ind w:left="2473" w:hanging="180"/>
      </w:pPr>
    </w:lvl>
    <w:lvl w:ilvl="3" w:tplc="080C000F" w:tentative="1">
      <w:start w:val="1"/>
      <w:numFmt w:val="decimal"/>
      <w:lvlText w:val="%4."/>
      <w:lvlJc w:val="left"/>
      <w:pPr>
        <w:ind w:left="3193" w:hanging="360"/>
      </w:pPr>
    </w:lvl>
    <w:lvl w:ilvl="4" w:tplc="080C0019" w:tentative="1">
      <w:start w:val="1"/>
      <w:numFmt w:val="lowerLetter"/>
      <w:lvlText w:val="%5."/>
      <w:lvlJc w:val="left"/>
      <w:pPr>
        <w:ind w:left="3913" w:hanging="360"/>
      </w:pPr>
    </w:lvl>
    <w:lvl w:ilvl="5" w:tplc="080C001B" w:tentative="1">
      <w:start w:val="1"/>
      <w:numFmt w:val="lowerRoman"/>
      <w:lvlText w:val="%6."/>
      <w:lvlJc w:val="right"/>
      <w:pPr>
        <w:ind w:left="4633" w:hanging="180"/>
      </w:pPr>
    </w:lvl>
    <w:lvl w:ilvl="6" w:tplc="080C000F" w:tentative="1">
      <w:start w:val="1"/>
      <w:numFmt w:val="decimal"/>
      <w:lvlText w:val="%7."/>
      <w:lvlJc w:val="left"/>
      <w:pPr>
        <w:ind w:left="5353" w:hanging="360"/>
      </w:pPr>
    </w:lvl>
    <w:lvl w:ilvl="7" w:tplc="080C0019" w:tentative="1">
      <w:start w:val="1"/>
      <w:numFmt w:val="lowerLetter"/>
      <w:lvlText w:val="%8."/>
      <w:lvlJc w:val="left"/>
      <w:pPr>
        <w:ind w:left="6073" w:hanging="360"/>
      </w:pPr>
    </w:lvl>
    <w:lvl w:ilvl="8" w:tplc="080C001B" w:tentative="1">
      <w:start w:val="1"/>
      <w:numFmt w:val="lowerRoman"/>
      <w:lvlText w:val="%9."/>
      <w:lvlJc w:val="right"/>
      <w:pPr>
        <w:ind w:left="6793" w:hanging="180"/>
      </w:pPr>
    </w:lvl>
  </w:abstractNum>
  <w:abstractNum w:abstractNumId="2" w15:restartNumberingAfterBreak="0">
    <w:nsid w:val="314C716E"/>
    <w:multiLevelType w:val="hybridMultilevel"/>
    <w:tmpl w:val="A4781324"/>
    <w:lvl w:ilvl="0" w:tplc="00D0890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B225A"/>
    <w:multiLevelType w:val="hybridMultilevel"/>
    <w:tmpl w:val="D0608E24"/>
    <w:lvl w:ilvl="0" w:tplc="2ADCAA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FE0ABE"/>
    <w:multiLevelType w:val="hybridMultilevel"/>
    <w:tmpl w:val="2F38C7E8"/>
    <w:lvl w:ilvl="0" w:tplc="D020DC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5C2006"/>
    <w:multiLevelType w:val="hybridMultilevel"/>
    <w:tmpl w:val="04EC1266"/>
    <w:lvl w:ilvl="0" w:tplc="C3483CC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969A4"/>
    <w:multiLevelType w:val="hybridMultilevel"/>
    <w:tmpl w:val="17A806F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DC15ADF"/>
    <w:multiLevelType w:val="hybridMultilevel"/>
    <w:tmpl w:val="CC28BAC4"/>
    <w:lvl w:ilvl="0" w:tplc="00D08908">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257BD6"/>
    <w:multiLevelType w:val="hybridMultilevel"/>
    <w:tmpl w:val="BA5600BA"/>
    <w:lvl w:ilvl="0" w:tplc="6D70045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0647876">
    <w:abstractNumId w:val="0"/>
  </w:num>
  <w:num w:numId="2" w16cid:durableId="95371229">
    <w:abstractNumId w:val="8"/>
  </w:num>
  <w:num w:numId="3" w16cid:durableId="2086761005">
    <w:abstractNumId w:val="4"/>
  </w:num>
  <w:num w:numId="4" w16cid:durableId="945505067">
    <w:abstractNumId w:val="3"/>
  </w:num>
  <w:num w:numId="5" w16cid:durableId="1158695559">
    <w:abstractNumId w:val="6"/>
  </w:num>
  <w:num w:numId="6" w16cid:durableId="327292604">
    <w:abstractNumId w:val="5"/>
  </w:num>
  <w:num w:numId="7" w16cid:durableId="508374141">
    <w:abstractNumId w:val="1"/>
  </w:num>
  <w:num w:numId="8" w16cid:durableId="1840197500">
    <w:abstractNumId w:val="7"/>
  </w:num>
  <w:num w:numId="9" w16cid:durableId="17718546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lle Burnay (RIZIV-INAMI)">
    <w15:presenceInfo w15:providerId="AD" w15:userId="S::Marielle.Burnay@riziv-inami.fgov.be::34790f31-c3fb-45ff-b4e8-0cb50baa5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C3"/>
    <w:rsid w:val="00013336"/>
    <w:rsid w:val="000142EC"/>
    <w:rsid w:val="00023131"/>
    <w:rsid w:val="00025BC8"/>
    <w:rsid w:val="00030BA5"/>
    <w:rsid w:val="0007108A"/>
    <w:rsid w:val="000813EB"/>
    <w:rsid w:val="00093693"/>
    <w:rsid w:val="000A1603"/>
    <w:rsid w:val="000B4285"/>
    <w:rsid w:val="000C1B72"/>
    <w:rsid w:val="000D2ACA"/>
    <w:rsid w:val="000D6E0E"/>
    <w:rsid w:val="000D7551"/>
    <w:rsid w:val="000E19FE"/>
    <w:rsid w:val="000E5E32"/>
    <w:rsid w:val="000F2CFA"/>
    <w:rsid w:val="000F59C3"/>
    <w:rsid w:val="000F7064"/>
    <w:rsid w:val="0010737B"/>
    <w:rsid w:val="001246E7"/>
    <w:rsid w:val="001266B8"/>
    <w:rsid w:val="00127647"/>
    <w:rsid w:val="001375BE"/>
    <w:rsid w:val="0013795C"/>
    <w:rsid w:val="0015700C"/>
    <w:rsid w:val="00165D13"/>
    <w:rsid w:val="00166F19"/>
    <w:rsid w:val="001901FE"/>
    <w:rsid w:val="001923B9"/>
    <w:rsid w:val="001949D7"/>
    <w:rsid w:val="001B1528"/>
    <w:rsid w:val="001B2A13"/>
    <w:rsid w:val="001B5F69"/>
    <w:rsid w:val="001C1FB4"/>
    <w:rsid w:val="001C7AC9"/>
    <w:rsid w:val="001D0B70"/>
    <w:rsid w:val="001D143F"/>
    <w:rsid w:val="001D708B"/>
    <w:rsid w:val="001E0078"/>
    <w:rsid w:val="001F16B3"/>
    <w:rsid w:val="001F3647"/>
    <w:rsid w:val="001F5CDA"/>
    <w:rsid w:val="001F5E1F"/>
    <w:rsid w:val="0020776F"/>
    <w:rsid w:val="00217458"/>
    <w:rsid w:val="00223EE0"/>
    <w:rsid w:val="00235E7E"/>
    <w:rsid w:val="002421A6"/>
    <w:rsid w:val="00271A69"/>
    <w:rsid w:val="00290AE4"/>
    <w:rsid w:val="002A7CF0"/>
    <w:rsid w:val="002B2CE2"/>
    <w:rsid w:val="002B687F"/>
    <w:rsid w:val="002C5540"/>
    <w:rsid w:val="00300881"/>
    <w:rsid w:val="00303FE6"/>
    <w:rsid w:val="00310C4C"/>
    <w:rsid w:val="003124CD"/>
    <w:rsid w:val="0032577E"/>
    <w:rsid w:val="00325F2D"/>
    <w:rsid w:val="00347376"/>
    <w:rsid w:val="0036290D"/>
    <w:rsid w:val="00371224"/>
    <w:rsid w:val="00386B66"/>
    <w:rsid w:val="003901F2"/>
    <w:rsid w:val="00393F98"/>
    <w:rsid w:val="003C0303"/>
    <w:rsid w:val="003C0AE9"/>
    <w:rsid w:val="003E4AF5"/>
    <w:rsid w:val="003E7C0B"/>
    <w:rsid w:val="0040332E"/>
    <w:rsid w:val="00404570"/>
    <w:rsid w:val="00410616"/>
    <w:rsid w:val="00410FD8"/>
    <w:rsid w:val="00411DE2"/>
    <w:rsid w:val="00414F83"/>
    <w:rsid w:val="004221E8"/>
    <w:rsid w:val="004334E5"/>
    <w:rsid w:val="00440716"/>
    <w:rsid w:val="00447C95"/>
    <w:rsid w:val="00453A15"/>
    <w:rsid w:val="00455D97"/>
    <w:rsid w:val="00466DED"/>
    <w:rsid w:val="004722CA"/>
    <w:rsid w:val="0047584F"/>
    <w:rsid w:val="00477C89"/>
    <w:rsid w:val="004A4E95"/>
    <w:rsid w:val="004A67CF"/>
    <w:rsid w:val="004B312F"/>
    <w:rsid w:val="004B4BF7"/>
    <w:rsid w:val="004B4CD4"/>
    <w:rsid w:val="004C1F59"/>
    <w:rsid w:val="004C47E4"/>
    <w:rsid w:val="004C66BE"/>
    <w:rsid w:val="004E530D"/>
    <w:rsid w:val="00500DB9"/>
    <w:rsid w:val="0050339E"/>
    <w:rsid w:val="00510097"/>
    <w:rsid w:val="0051721B"/>
    <w:rsid w:val="005207DD"/>
    <w:rsid w:val="00535644"/>
    <w:rsid w:val="00536B62"/>
    <w:rsid w:val="00543089"/>
    <w:rsid w:val="00544355"/>
    <w:rsid w:val="00545E41"/>
    <w:rsid w:val="00557033"/>
    <w:rsid w:val="00561B00"/>
    <w:rsid w:val="00562906"/>
    <w:rsid w:val="00562E7F"/>
    <w:rsid w:val="0056533D"/>
    <w:rsid w:val="005669A4"/>
    <w:rsid w:val="00571D79"/>
    <w:rsid w:val="00581883"/>
    <w:rsid w:val="005A1F07"/>
    <w:rsid w:val="005A4CE1"/>
    <w:rsid w:val="005B57CB"/>
    <w:rsid w:val="005C1370"/>
    <w:rsid w:val="005C4E88"/>
    <w:rsid w:val="005C7309"/>
    <w:rsid w:val="005D0692"/>
    <w:rsid w:val="005D210B"/>
    <w:rsid w:val="005F2B64"/>
    <w:rsid w:val="005F50EE"/>
    <w:rsid w:val="00602E85"/>
    <w:rsid w:val="0060596E"/>
    <w:rsid w:val="006214BC"/>
    <w:rsid w:val="00624EF4"/>
    <w:rsid w:val="0063002C"/>
    <w:rsid w:val="00632F82"/>
    <w:rsid w:val="0064005E"/>
    <w:rsid w:val="006413FD"/>
    <w:rsid w:val="006633F0"/>
    <w:rsid w:val="00663B6B"/>
    <w:rsid w:val="00671DC6"/>
    <w:rsid w:val="00672154"/>
    <w:rsid w:val="0067778C"/>
    <w:rsid w:val="00683C65"/>
    <w:rsid w:val="00691ABC"/>
    <w:rsid w:val="00695116"/>
    <w:rsid w:val="00696CF2"/>
    <w:rsid w:val="006B00E0"/>
    <w:rsid w:val="006B6688"/>
    <w:rsid w:val="006C68CB"/>
    <w:rsid w:val="006E7895"/>
    <w:rsid w:val="006F5E31"/>
    <w:rsid w:val="00714AD7"/>
    <w:rsid w:val="007161D5"/>
    <w:rsid w:val="00716E87"/>
    <w:rsid w:val="00717682"/>
    <w:rsid w:val="0071793D"/>
    <w:rsid w:val="00720A5F"/>
    <w:rsid w:val="00723836"/>
    <w:rsid w:val="00735F7F"/>
    <w:rsid w:val="00740DC3"/>
    <w:rsid w:val="00750823"/>
    <w:rsid w:val="00750FE8"/>
    <w:rsid w:val="00754079"/>
    <w:rsid w:val="00764197"/>
    <w:rsid w:val="00766BBE"/>
    <w:rsid w:val="00773102"/>
    <w:rsid w:val="00784D40"/>
    <w:rsid w:val="007965F0"/>
    <w:rsid w:val="00797C61"/>
    <w:rsid w:val="007B5503"/>
    <w:rsid w:val="007D025D"/>
    <w:rsid w:val="007E128C"/>
    <w:rsid w:val="007E2513"/>
    <w:rsid w:val="00825BC0"/>
    <w:rsid w:val="008426F1"/>
    <w:rsid w:val="008547A0"/>
    <w:rsid w:val="00862E99"/>
    <w:rsid w:val="00894116"/>
    <w:rsid w:val="008D633E"/>
    <w:rsid w:val="008E1CF1"/>
    <w:rsid w:val="008F03BC"/>
    <w:rsid w:val="0090313C"/>
    <w:rsid w:val="009111A7"/>
    <w:rsid w:val="00934AE4"/>
    <w:rsid w:val="00936805"/>
    <w:rsid w:val="00962B0D"/>
    <w:rsid w:val="0096376B"/>
    <w:rsid w:val="00964430"/>
    <w:rsid w:val="00971BF9"/>
    <w:rsid w:val="00973A68"/>
    <w:rsid w:val="00974C2C"/>
    <w:rsid w:val="009812E7"/>
    <w:rsid w:val="00982301"/>
    <w:rsid w:val="009927F7"/>
    <w:rsid w:val="009A09F4"/>
    <w:rsid w:val="009A3C28"/>
    <w:rsid w:val="009A48FC"/>
    <w:rsid w:val="009B12AD"/>
    <w:rsid w:val="009B1D03"/>
    <w:rsid w:val="009B41A7"/>
    <w:rsid w:val="009B50C8"/>
    <w:rsid w:val="009D2937"/>
    <w:rsid w:val="009F3EA4"/>
    <w:rsid w:val="00A114A8"/>
    <w:rsid w:val="00A22409"/>
    <w:rsid w:val="00A443ED"/>
    <w:rsid w:val="00A45A79"/>
    <w:rsid w:val="00A506E4"/>
    <w:rsid w:val="00A6355C"/>
    <w:rsid w:val="00A71985"/>
    <w:rsid w:val="00A77E91"/>
    <w:rsid w:val="00A810F6"/>
    <w:rsid w:val="00A827F1"/>
    <w:rsid w:val="00AA734B"/>
    <w:rsid w:val="00AB57CC"/>
    <w:rsid w:val="00AD6971"/>
    <w:rsid w:val="00AE33D3"/>
    <w:rsid w:val="00B00B9A"/>
    <w:rsid w:val="00B04B4A"/>
    <w:rsid w:val="00B0611B"/>
    <w:rsid w:val="00B2093F"/>
    <w:rsid w:val="00B25FF2"/>
    <w:rsid w:val="00B3003D"/>
    <w:rsid w:val="00B4704C"/>
    <w:rsid w:val="00B61920"/>
    <w:rsid w:val="00B66D7D"/>
    <w:rsid w:val="00B75D30"/>
    <w:rsid w:val="00B84760"/>
    <w:rsid w:val="00B91A7E"/>
    <w:rsid w:val="00B91AEA"/>
    <w:rsid w:val="00B93CCE"/>
    <w:rsid w:val="00B93DA1"/>
    <w:rsid w:val="00B94499"/>
    <w:rsid w:val="00B97185"/>
    <w:rsid w:val="00BA35C3"/>
    <w:rsid w:val="00BA7008"/>
    <w:rsid w:val="00BC0DC7"/>
    <w:rsid w:val="00BC2B15"/>
    <w:rsid w:val="00BC2EFC"/>
    <w:rsid w:val="00BD5755"/>
    <w:rsid w:val="00BE6EB7"/>
    <w:rsid w:val="00BE7B53"/>
    <w:rsid w:val="00BF0917"/>
    <w:rsid w:val="00BF24DA"/>
    <w:rsid w:val="00BF2A92"/>
    <w:rsid w:val="00C03A5E"/>
    <w:rsid w:val="00C0554D"/>
    <w:rsid w:val="00C064A9"/>
    <w:rsid w:val="00C13E32"/>
    <w:rsid w:val="00C15F71"/>
    <w:rsid w:val="00C25311"/>
    <w:rsid w:val="00C25982"/>
    <w:rsid w:val="00C32A29"/>
    <w:rsid w:val="00C47D0F"/>
    <w:rsid w:val="00C50333"/>
    <w:rsid w:val="00C51760"/>
    <w:rsid w:val="00C57C3F"/>
    <w:rsid w:val="00C64016"/>
    <w:rsid w:val="00C77FB6"/>
    <w:rsid w:val="00C817D2"/>
    <w:rsid w:val="00C8397A"/>
    <w:rsid w:val="00C92A9B"/>
    <w:rsid w:val="00CA009C"/>
    <w:rsid w:val="00CA3855"/>
    <w:rsid w:val="00CA581E"/>
    <w:rsid w:val="00CA718D"/>
    <w:rsid w:val="00CB42EB"/>
    <w:rsid w:val="00CC45D2"/>
    <w:rsid w:val="00CC7D0B"/>
    <w:rsid w:val="00CE635D"/>
    <w:rsid w:val="00D077E8"/>
    <w:rsid w:val="00D13F7B"/>
    <w:rsid w:val="00D160CB"/>
    <w:rsid w:val="00D34409"/>
    <w:rsid w:val="00D368E7"/>
    <w:rsid w:val="00D62773"/>
    <w:rsid w:val="00D64471"/>
    <w:rsid w:val="00D66363"/>
    <w:rsid w:val="00D670A1"/>
    <w:rsid w:val="00D70353"/>
    <w:rsid w:val="00D7598A"/>
    <w:rsid w:val="00D801D9"/>
    <w:rsid w:val="00D83D55"/>
    <w:rsid w:val="00D86DB6"/>
    <w:rsid w:val="00D978FA"/>
    <w:rsid w:val="00DA060F"/>
    <w:rsid w:val="00DA1E11"/>
    <w:rsid w:val="00DA278F"/>
    <w:rsid w:val="00DB6A69"/>
    <w:rsid w:val="00DB7048"/>
    <w:rsid w:val="00DC000D"/>
    <w:rsid w:val="00DC7314"/>
    <w:rsid w:val="00DC7990"/>
    <w:rsid w:val="00DF011E"/>
    <w:rsid w:val="00DF0C6E"/>
    <w:rsid w:val="00DF4489"/>
    <w:rsid w:val="00DF79CA"/>
    <w:rsid w:val="00E04EF4"/>
    <w:rsid w:val="00E077B3"/>
    <w:rsid w:val="00E10784"/>
    <w:rsid w:val="00E11AC5"/>
    <w:rsid w:val="00E11D3F"/>
    <w:rsid w:val="00E257C8"/>
    <w:rsid w:val="00E3720E"/>
    <w:rsid w:val="00E417A8"/>
    <w:rsid w:val="00E4544A"/>
    <w:rsid w:val="00E459F0"/>
    <w:rsid w:val="00E532B3"/>
    <w:rsid w:val="00E57F09"/>
    <w:rsid w:val="00E61FB2"/>
    <w:rsid w:val="00E80604"/>
    <w:rsid w:val="00E918E2"/>
    <w:rsid w:val="00E94D80"/>
    <w:rsid w:val="00E96BE8"/>
    <w:rsid w:val="00EA6689"/>
    <w:rsid w:val="00ED7E59"/>
    <w:rsid w:val="00EE20BE"/>
    <w:rsid w:val="00EE4AB3"/>
    <w:rsid w:val="00EE5208"/>
    <w:rsid w:val="00EE56F6"/>
    <w:rsid w:val="00EE6F91"/>
    <w:rsid w:val="00EF0E0E"/>
    <w:rsid w:val="00EF1765"/>
    <w:rsid w:val="00EF1874"/>
    <w:rsid w:val="00EF4F7A"/>
    <w:rsid w:val="00F03E80"/>
    <w:rsid w:val="00F13A1D"/>
    <w:rsid w:val="00F16E48"/>
    <w:rsid w:val="00F2158B"/>
    <w:rsid w:val="00F37B16"/>
    <w:rsid w:val="00F47F3E"/>
    <w:rsid w:val="00F64024"/>
    <w:rsid w:val="00F64C59"/>
    <w:rsid w:val="00F83FD0"/>
    <w:rsid w:val="00F84DEF"/>
    <w:rsid w:val="00F86F95"/>
    <w:rsid w:val="00F97AEA"/>
    <w:rsid w:val="00FB55B7"/>
    <w:rsid w:val="00FC0822"/>
    <w:rsid w:val="00FC3AD3"/>
    <w:rsid w:val="00FC404C"/>
    <w:rsid w:val="00FD0C2D"/>
    <w:rsid w:val="00FE42AD"/>
    <w:rsid w:val="00FF12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B51A"/>
  <w15:chartTrackingRefBased/>
  <w15:docId w15:val="{2F9E5F47-067F-43FC-9BBE-2F8E18BE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611B"/>
    <w:pPr>
      <w:spacing w:after="200" w:line="276" w:lineRule="auto"/>
    </w:pPr>
    <w:rPr>
      <w:lang w:val="en-GB"/>
    </w:rPr>
  </w:style>
  <w:style w:type="paragraph" w:styleId="Kop1">
    <w:name w:val="heading 1"/>
    <w:aliases w:val="Hoofdstuk"/>
    <w:basedOn w:val="Standaard"/>
    <w:next w:val="Standaard"/>
    <w:link w:val="Kop1Char"/>
    <w:qFormat/>
    <w:rsid w:val="001E0078"/>
    <w:pPr>
      <w:keepNext/>
      <w:keepLines/>
      <w:spacing w:before="480" w:after="0"/>
      <w:outlineLvl w:val="0"/>
    </w:pPr>
    <w:rPr>
      <w:rFonts w:asciiTheme="majorHAnsi" w:eastAsiaTheme="majorEastAsia" w:hAnsiTheme="majorHAnsi" w:cstheme="majorBidi"/>
      <w:b/>
      <w:bCs/>
      <w:color w:val="365F91" w:themeColor="accent1" w:themeShade="BF"/>
      <w:sz w:val="28"/>
      <w:szCs w:val="2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E0078"/>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1E0078"/>
    <w:rPr>
      <w:rFonts w:asciiTheme="majorHAnsi" w:eastAsiaTheme="majorEastAsia" w:hAnsiTheme="majorHAnsi" w:cstheme="majorBidi"/>
      <w:b/>
      <w:bCs/>
      <w:color w:val="365F91" w:themeColor="accent1" w:themeShade="BF"/>
      <w:sz w:val="28"/>
      <w:szCs w:val="28"/>
      <w:lang w:val="nl-BE"/>
    </w:rPr>
  </w:style>
  <w:style w:type="character" w:styleId="Verwijzingopmerking">
    <w:name w:val="annotation reference"/>
    <w:basedOn w:val="Standaardalinea-lettertype"/>
    <w:uiPriority w:val="99"/>
    <w:unhideWhenUsed/>
    <w:rsid w:val="00393F98"/>
    <w:rPr>
      <w:sz w:val="16"/>
      <w:szCs w:val="16"/>
    </w:rPr>
  </w:style>
  <w:style w:type="paragraph" w:styleId="Tekstopmerking">
    <w:name w:val="annotation text"/>
    <w:basedOn w:val="Standaard"/>
    <w:link w:val="TekstopmerkingChar"/>
    <w:uiPriority w:val="99"/>
    <w:unhideWhenUsed/>
    <w:rsid w:val="00393F98"/>
    <w:pPr>
      <w:spacing w:line="240" w:lineRule="auto"/>
    </w:pPr>
    <w:rPr>
      <w:sz w:val="20"/>
      <w:szCs w:val="20"/>
    </w:rPr>
  </w:style>
  <w:style w:type="character" w:customStyle="1" w:styleId="TekstopmerkingChar">
    <w:name w:val="Tekst opmerking Char"/>
    <w:basedOn w:val="Standaardalinea-lettertype"/>
    <w:link w:val="Tekstopmerking"/>
    <w:uiPriority w:val="99"/>
    <w:rsid w:val="00393F98"/>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393F98"/>
    <w:rPr>
      <w:b/>
      <w:bCs/>
    </w:rPr>
  </w:style>
  <w:style w:type="character" w:customStyle="1" w:styleId="OnderwerpvanopmerkingChar">
    <w:name w:val="Onderwerp van opmerking Char"/>
    <w:basedOn w:val="TekstopmerkingChar"/>
    <w:link w:val="Onderwerpvanopmerking"/>
    <w:uiPriority w:val="99"/>
    <w:semiHidden/>
    <w:rsid w:val="00393F98"/>
    <w:rPr>
      <w:b/>
      <w:bCs/>
      <w:sz w:val="20"/>
      <w:szCs w:val="20"/>
      <w:lang w:val="en-GB"/>
    </w:rPr>
  </w:style>
  <w:style w:type="paragraph" w:styleId="Ballontekst">
    <w:name w:val="Balloon Text"/>
    <w:basedOn w:val="Standaard"/>
    <w:link w:val="BallontekstChar"/>
    <w:uiPriority w:val="99"/>
    <w:semiHidden/>
    <w:unhideWhenUsed/>
    <w:rsid w:val="00393F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F98"/>
    <w:rPr>
      <w:rFonts w:ascii="Segoe UI" w:hAnsi="Segoe UI" w:cs="Segoe UI"/>
      <w:sz w:val="18"/>
      <w:szCs w:val="18"/>
      <w:lang w:val="en-GB"/>
    </w:rPr>
  </w:style>
  <w:style w:type="paragraph" w:styleId="Revisie">
    <w:name w:val="Revision"/>
    <w:hidden/>
    <w:uiPriority w:val="99"/>
    <w:semiHidden/>
    <w:rsid w:val="00E918E2"/>
    <w:rPr>
      <w:lang w:val="en-GB"/>
    </w:rPr>
  </w:style>
  <w:style w:type="paragraph" w:styleId="Lijstalinea">
    <w:name w:val="List Paragraph"/>
    <w:basedOn w:val="Standaard"/>
    <w:uiPriority w:val="34"/>
    <w:qFormat/>
    <w:rsid w:val="00C51760"/>
    <w:pPr>
      <w:ind w:left="720"/>
      <w:contextualSpacing/>
    </w:pPr>
  </w:style>
  <w:style w:type="character" w:styleId="Hyperlink">
    <w:name w:val="Hyperlink"/>
    <w:basedOn w:val="Standaardalinea-lettertype"/>
    <w:uiPriority w:val="99"/>
    <w:semiHidden/>
    <w:unhideWhenUsed/>
    <w:rsid w:val="004722CA"/>
    <w:rPr>
      <w:color w:val="0000FF"/>
      <w:u w:val="single"/>
    </w:rPr>
  </w:style>
  <w:style w:type="paragraph" w:styleId="Koptekst">
    <w:name w:val="header"/>
    <w:basedOn w:val="Standaard"/>
    <w:link w:val="KoptekstChar"/>
    <w:uiPriority w:val="99"/>
    <w:unhideWhenUsed/>
    <w:rsid w:val="00DF011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F011E"/>
    <w:rPr>
      <w:lang w:val="en-GB"/>
    </w:rPr>
  </w:style>
  <w:style w:type="paragraph" w:styleId="Voettekst">
    <w:name w:val="footer"/>
    <w:basedOn w:val="Standaard"/>
    <w:link w:val="VoettekstChar"/>
    <w:uiPriority w:val="99"/>
    <w:unhideWhenUsed/>
    <w:rsid w:val="00DF011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F011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GV-SS\JUR\LOIS_WETTEN\Templates%20-%20doc%20g&#233;n&#233;raux\Template_APL_VO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4b9427-8d9e-4eae-9244-8730a00b7661" xsi:nil="true"/>
    <lcf76f155ced4ddcb4097134ff3c332f xmlns="494173ea-6f3e-4bfb-bbc7-9605c664c7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D724D6337CC49BE170BA52916B30D" ma:contentTypeVersion="13" ma:contentTypeDescription="Een nieuw document maken." ma:contentTypeScope="" ma:versionID="d50ea3b4c3ace3436cbe86100856fcad">
  <xsd:schema xmlns:xsd="http://www.w3.org/2001/XMLSchema" xmlns:xs="http://www.w3.org/2001/XMLSchema" xmlns:p="http://schemas.microsoft.com/office/2006/metadata/properties" xmlns:ns2="494173ea-6f3e-4bfb-bbc7-9605c664c7bb" xmlns:ns3="e74b9427-8d9e-4eae-9244-8730a00b7661" targetNamespace="http://schemas.microsoft.com/office/2006/metadata/properties" ma:root="true" ma:fieldsID="2fc9d6580f734b0c06b9fd38f268db76" ns2:_="" ns3:_="">
    <xsd:import namespace="494173ea-6f3e-4bfb-bbc7-9605c664c7bb"/>
    <xsd:import namespace="e74b9427-8d9e-4eae-9244-8730a00b76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173ea-6f3e-4bfb-bbc7-9605c664c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9427-8d9e-4eae-9244-8730a00b76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5a1b3a-45b9-4936-8598-eea8de1b0a08}" ma:internalName="TaxCatchAll" ma:showField="CatchAllData" ma:web="e74b9427-8d9e-4eae-9244-8730a00b76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8FCF4-399B-43C8-90B5-0A6660080D5E}">
  <ds:schemaRefs>
    <ds:schemaRef ds:uri="http://schemas.openxmlformats.org/officeDocument/2006/bibliography"/>
  </ds:schemaRefs>
</ds:datastoreItem>
</file>

<file path=customXml/itemProps2.xml><?xml version="1.0" encoding="utf-8"?>
<ds:datastoreItem xmlns:ds="http://schemas.openxmlformats.org/officeDocument/2006/customXml" ds:itemID="{8D1931F6-CAA0-45D5-BC83-38DEB6455C6C}">
  <ds:schemaRefs>
    <ds:schemaRef ds:uri="http://schemas.microsoft.com/office/2006/metadata/properties"/>
    <ds:schemaRef ds:uri="http://schemas.microsoft.com/office/infopath/2007/PartnerControls"/>
    <ds:schemaRef ds:uri="e74b9427-8d9e-4eae-9244-8730a00b7661"/>
    <ds:schemaRef ds:uri="494173ea-6f3e-4bfb-bbc7-9605c664c7bb"/>
  </ds:schemaRefs>
</ds:datastoreItem>
</file>

<file path=customXml/itemProps3.xml><?xml version="1.0" encoding="utf-8"?>
<ds:datastoreItem xmlns:ds="http://schemas.openxmlformats.org/officeDocument/2006/customXml" ds:itemID="{04995835-D02F-46DB-8A37-A566A3C2AB48}">
  <ds:schemaRefs>
    <ds:schemaRef ds:uri="http://schemas.microsoft.com/sharepoint/v3/contenttype/forms"/>
  </ds:schemaRefs>
</ds:datastoreItem>
</file>

<file path=customXml/itemProps4.xml><?xml version="1.0" encoding="utf-8"?>
<ds:datastoreItem xmlns:ds="http://schemas.openxmlformats.org/officeDocument/2006/customXml" ds:itemID="{A0E77794-D411-4602-8124-987E66FD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173ea-6f3e-4bfb-bbc7-9605c664c7bb"/>
    <ds:schemaRef ds:uri="e74b9427-8d9e-4eae-9244-8730a00b7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Template_APL_VOW</Template>
  <TotalTime>0</TotalTime>
  <Pages>62</Pages>
  <Words>33914</Words>
  <Characters>193310</Characters>
  <Application>Microsoft Office Word</Application>
  <DocSecurity>0</DocSecurity>
  <Lines>1610</Lines>
  <Paragraphs>453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RIZIV-INAMI</Company>
  <LinksUpToDate>false</LinksUpToDate>
  <CharactersWithSpaces>226771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Burnay</dc:creator>
  <cp:keywords/>
  <dc:description/>
  <cp:lastModifiedBy>Hens Evelyne</cp:lastModifiedBy>
  <cp:revision>4</cp:revision>
  <cp:lastPrinted>2025-07-01T15:42:00Z</cp:lastPrinted>
  <dcterms:created xsi:type="dcterms:W3CDTF">2025-07-21T13:11:00Z</dcterms:created>
  <dcterms:modified xsi:type="dcterms:W3CDTF">2025-07-21T13:13:00Z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0x0101000D4D724D6337CC49BE170BA52916B30D</vt:lpwstr>
  </property>
  <property fmtid="{D5CDD505-2E9C-101B-9397-08002B2CF9AE}" pid="3" name="MediaServiceImageTags">
    <vt:lpwstr/>
  </property>
</Properties>
</file>