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10"/>
      </w:tblGrid>
      <w:tr w:rsidR="008D0225" w:rsidRPr="00D85A38" w14:paraId="307CB288" w14:textId="77777777" w:rsidTr="00363C5C">
        <w:trPr>
          <w:gridAfter w:val="1"/>
          <w:wAfter w:w="10" w:type="dxa"/>
        </w:trPr>
        <w:tc>
          <w:tcPr>
            <w:tcW w:w="4675" w:type="dxa"/>
          </w:tcPr>
          <w:p w14:paraId="0B0782E6" w14:textId="1C4A9B54" w:rsidR="00215862" w:rsidRPr="00F130C9" w:rsidRDefault="00B03E3E" w:rsidP="00215862">
            <w:pPr>
              <w:jc w:val="center"/>
              <w:rPr>
                <w:b/>
                <w:bCs/>
                <w:caps/>
                <w:lang w:val="nl-BE"/>
              </w:rPr>
            </w:pPr>
            <w:r w:rsidRPr="00B03E3E">
              <w:rPr>
                <w:b/>
                <w:bCs/>
                <w:caps/>
                <w:lang w:val="nl-BE"/>
              </w:rPr>
              <w:t xml:space="preserve">Voorontwerp van Wet tot wijziging van </w:t>
            </w:r>
            <w:r w:rsidR="00097D33">
              <w:rPr>
                <w:b/>
                <w:bCs/>
                <w:caps/>
                <w:lang w:val="nl-BE"/>
              </w:rPr>
              <w:t xml:space="preserve">De WET </w:t>
            </w:r>
            <w:r w:rsidR="00097D33" w:rsidRPr="00097D33">
              <w:rPr>
                <w:b/>
                <w:bCs/>
                <w:caps/>
                <w:lang w:val="nl-BE"/>
              </w:rPr>
              <w:t>VAN 21 AUGUSTUS 2008 HOUDENDE OPRICHTING EN ORGANISATIE VAN HET EHEALTH-PLATFORM EN DIVERSE BEPALINGEN</w:t>
            </w:r>
            <w:r w:rsidRPr="00B03E3E">
              <w:rPr>
                <w:b/>
                <w:bCs/>
                <w:caps/>
                <w:lang w:val="nl-BE"/>
              </w:rPr>
              <w:t xml:space="preserve"> en tot wijziging van de wet van 29 januari 2014 houdende bepalingen inzake de sociale identiteitskaart en de ISI+-kaart</w:t>
            </w:r>
          </w:p>
        </w:tc>
        <w:tc>
          <w:tcPr>
            <w:tcW w:w="4675" w:type="dxa"/>
          </w:tcPr>
          <w:p w14:paraId="3A357956" w14:textId="7535A461" w:rsidR="00215862" w:rsidRPr="0008427B" w:rsidRDefault="0008427B" w:rsidP="0008427B">
            <w:pPr>
              <w:jc w:val="center"/>
              <w:rPr>
                <w:b/>
                <w:bCs/>
                <w:caps/>
                <w:lang w:val="fr"/>
              </w:rPr>
            </w:pPr>
            <w:r w:rsidRPr="0008427B">
              <w:rPr>
                <w:b/>
                <w:bCs/>
                <w:caps/>
                <w:lang w:val="fr"/>
              </w:rPr>
              <w:t xml:space="preserve">Avant-projet de Loi de modification de la Loi </w:t>
            </w:r>
            <w:r w:rsidR="00097D33" w:rsidRPr="00097D33">
              <w:rPr>
                <w:b/>
                <w:bCs/>
                <w:caps/>
                <w:lang w:val="fr-BE"/>
              </w:rPr>
              <w:t>du 21 août 2008 relative à l'institution et à l’organisation de la plate-forme eHealth et portant diverses dispositions</w:t>
            </w:r>
            <w:r w:rsidRPr="0008427B">
              <w:rPr>
                <w:b/>
                <w:bCs/>
                <w:caps/>
                <w:lang w:val="fr"/>
              </w:rPr>
              <w:t xml:space="preserve"> et de modification de la Loi du 29 janvier 2014 portant des dispositions relatives à la carte d'identité sociale et la carte ISI+</w:t>
            </w:r>
          </w:p>
        </w:tc>
      </w:tr>
      <w:tr w:rsidR="008D0225" w:rsidRPr="00D85A38" w14:paraId="0AD5FF3B" w14:textId="77777777" w:rsidTr="00363C5C">
        <w:trPr>
          <w:gridAfter w:val="1"/>
          <w:wAfter w:w="10" w:type="dxa"/>
        </w:trPr>
        <w:tc>
          <w:tcPr>
            <w:tcW w:w="4675" w:type="dxa"/>
          </w:tcPr>
          <w:p w14:paraId="3AD9E087" w14:textId="77777777" w:rsidR="00215862" w:rsidRPr="008D0225" w:rsidRDefault="00215862" w:rsidP="00215862">
            <w:pPr>
              <w:rPr>
                <w:lang w:val="fr-BE"/>
              </w:rPr>
            </w:pPr>
          </w:p>
        </w:tc>
        <w:tc>
          <w:tcPr>
            <w:tcW w:w="4675" w:type="dxa"/>
          </w:tcPr>
          <w:p w14:paraId="53875BB5" w14:textId="77777777" w:rsidR="00215862" w:rsidRPr="008D0225" w:rsidRDefault="00215862" w:rsidP="00215862">
            <w:pPr>
              <w:rPr>
                <w:lang w:val="fr-BE"/>
              </w:rPr>
            </w:pPr>
          </w:p>
        </w:tc>
      </w:tr>
      <w:tr w:rsidR="003B7C2F" w:rsidRPr="003B7C2F" w14:paraId="6FE08FA9" w14:textId="77777777" w:rsidTr="00363C5C">
        <w:trPr>
          <w:gridAfter w:val="1"/>
          <w:wAfter w:w="10" w:type="dxa"/>
        </w:trPr>
        <w:tc>
          <w:tcPr>
            <w:tcW w:w="4675" w:type="dxa"/>
          </w:tcPr>
          <w:p w14:paraId="2E99AE64" w14:textId="696BFB00" w:rsidR="003B7C2F" w:rsidRPr="008D0225" w:rsidRDefault="003B7C2F" w:rsidP="00F130C9">
            <w:pPr>
              <w:jc w:val="center"/>
              <w:rPr>
                <w:lang w:val="fr-BE"/>
              </w:rPr>
            </w:pPr>
            <w:r w:rsidRPr="003B7C2F">
              <w:rPr>
                <w:lang w:val="fr-BE"/>
              </w:rPr>
              <w:t>FILIP, KONING DER BELGEN,</w:t>
            </w:r>
          </w:p>
        </w:tc>
        <w:tc>
          <w:tcPr>
            <w:tcW w:w="4675" w:type="dxa"/>
          </w:tcPr>
          <w:p w14:paraId="58C3F025" w14:textId="0059D82E" w:rsidR="003B7C2F" w:rsidRPr="008D0225" w:rsidRDefault="003B7C2F" w:rsidP="00F130C9">
            <w:pPr>
              <w:jc w:val="center"/>
              <w:rPr>
                <w:lang w:val="fr-BE"/>
              </w:rPr>
            </w:pPr>
            <w:r w:rsidRPr="003B7C2F">
              <w:rPr>
                <w:lang w:val="fr-BE"/>
              </w:rPr>
              <w:t>PHILIPPE ROI DES BELGES,</w:t>
            </w:r>
          </w:p>
        </w:tc>
      </w:tr>
      <w:tr w:rsidR="003B7C2F" w:rsidRPr="003B7C2F" w14:paraId="142499BE" w14:textId="77777777" w:rsidTr="00363C5C">
        <w:trPr>
          <w:gridAfter w:val="1"/>
          <w:wAfter w:w="10" w:type="dxa"/>
        </w:trPr>
        <w:tc>
          <w:tcPr>
            <w:tcW w:w="4675" w:type="dxa"/>
          </w:tcPr>
          <w:p w14:paraId="1F3F1CBD" w14:textId="77777777" w:rsidR="003B7C2F" w:rsidRPr="008D0225" w:rsidRDefault="003B7C2F" w:rsidP="00215862">
            <w:pPr>
              <w:rPr>
                <w:lang w:val="fr-BE"/>
              </w:rPr>
            </w:pPr>
          </w:p>
        </w:tc>
        <w:tc>
          <w:tcPr>
            <w:tcW w:w="4675" w:type="dxa"/>
          </w:tcPr>
          <w:p w14:paraId="533E3282" w14:textId="77777777" w:rsidR="003B7C2F" w:rsidRPr="008D0225" w:rsidRDefault="003B7C2F" w:rsidP="00215862">
            <w:pPr>
              <w:rPr>
                <w:lang w:val="fr-BE"/>
              </w:rPr>
            </w:pPr>
          </w:p>
        </w:tc>
      </w:tr>
      <w:tr w:rsidR="003B7C2F" w:rsidRPr="00D85A38" w14:paraId="05D81AEA" w14:textId="77777777" w:rsidTr="00363C5C">
        <w:trPr>
          <w:gridAfter w:val="1"/>
          <w:wAfter w:w="10" w:type="dxa"/>
        </w:trPr>
        <w:tc>
          <w:tcPr>
            <w:tcW w:w="4675" w:type="dxa"/>
          </w:tcPr>
          <w:p w14:paraId="1CDD3629" w14:textId="7075F4F0" w:rsidR="003B7C2F" w:rsidRPr="00F130C9" w:rsidRDefault="003B7C2F" w:rsidP="00F130C9">
            <w:pPr>
              <w:jc w:val="center"/>
              <w:rPr>
                <w:lang w:val="nl-BE"/>
              </w:rPr>
            </w:pPr>
            <w:r w:rsidRPr="00144DF0">
              <w:rPr>
                <w:lang w:val="nl-BE"/>
              </w:rPr>
              <w:t>Aan allen die nu zijn en hierna wezen zullen,</w:t>
            </w:r>
          </w:p>
        </w:tc>
        <w:tc>
          <w:tcPr>
            <w:tcW w:w="4675" w:type="dxa"/>
          </w:tcPr>
          <w:p w14:paraId="6D7392EA" w14:textId="0554D60F" w:rsidR="003B7C2F" w:rsidRPr="003B7C2F" w:rsidRDefault="003B7C2F" w:rsidP="00F130C9">
            <w:pPr>
              <w:jc w:val="center"/>
              <w:rPr>
                <w:lang w:val="fr-BE"/>
              </w:rPr>
            </w:pPr>
            <w:r w:rsidRPr="00F130C9">
              <w:rPr>
                <w:lang w:val="fr-BE"/>
              </w:rPr>
              <w:t>A tous, présents et à venir,</w:t>
            </w:r>
          </w:p>
        </w:tc>
      </w:tr>
      <w:tr w:rsidR="003B7C2F" w:rsidRPr="00D85A38" w14:paraId="631572EB" w14:textId="77777777" w:rsidTr="00363C5C">
        <w:trPr>
          <w:gridAfter w:val="1"/>
          <w:wAfter w:w="10" w:type="dxa"/>
        </w:trPr>
        <w:tc>
          <w:tcPr>
            <w:tcW w:w="4675" w:type="dxa"/>
          </w:tcPr>
          <w:p w14:paraId="4EB0D2F7" w14:textId="77777777" w:rsidR="003B7C2F" w:rsidRPr="003B7C2F" w:rsidRDefault="003B7C2F" w:rsidP="00215862">
            <w:pPr>
              <w:rPr>
                <w:lang w:val="fr-BE"/>
              </w:rPr>
            </w:pPr>
          </w:p>
        </w:tc>
        <w:tc>
          <w:tcPr>
            <w:tcW w:w="4675" w:type="dxa"/>
          </w:tcPr>
          <w:p w14:paraId="709A1B47" w14:textId="77777777" w:rsidR="003B7C2F" w:rsidRPr="003B7C2F" w:rsidRDefault="003B7C2F" w:rsidP="00215862">
            <w:pPr>
              <w:rPr>
                <w:lang w:val="fr-BE"/>
              </w:rPr>
            </w:pPr>
          </w:p>
        </w:tc>
      </w:tr>
      <w:tr w:rsidR="003B7C2F" w:rsidRPr="003B7C2F" w14:paraId="6A337EB2" w14:textId="77777777" w:rsidTr="00363C5C">
        <w:trPr>
          <w:gridAfter w:val="1"/>
          <w:wAfter w:w="10" w:type="dxa"/>
        </w:trPr>
        <w:tc>
          <w:tcPr>
            <w:tcW w:w="4675" w:type="dxa"/>
          </w:tcPr>
          <w:p w14:paraId="6D2FC6AB" w14:textId="2455B771" w:rsidR="003B7C2F" w:rsidRPr="003B7C2F" w:rsidRDefault="003B7C2F" w:rsidP="00F130C9">
            <w:pPr>
              <w:jc w:val="center"/>
              <w:rPr>
                <w:lang w:val="fr-BE"/>
              </w:rPr>
            </w:pPr>
            <w:r w:rsidRPr="003B7C2F">
              <w:rPr>
                <w:lang w:val="fr-BE"/>
              </w:rPr>
              <w:t>ONZE GROET.</w:t>
            </w:r>
          </w:p>
        </w:tc>
        <w:tc>
          <w:tcPr>
            <w:tcW w:w="4675" w:type="dxa"/>
          </w:tcPr>
          <w:p w14:paraId="5CE577D8" w14:textId="2A483FF8" w:rsidR="003B7C2F" w:rsidRPr="003B7C2F" w:rsidRDefault="003B7C2F" w:rsidP="00F130C9">
            <w:pPr>
              <w:jc w:val="center"/>
              <w:rPr>
                <w:lang w:val="fr-BE"/>
              </w:rPr>
            </w:pPr>
            <w:r w:rsidRPr="003B7C2F">
              <w:rPr>
                <w:lang w:val="fr-BE"/>
              </w:rPr>
              <w:t>SALUT.</w:t>
            </w:r>
          </w:p>
        </w:tc>
      </w:tr>
      <w:tr w:rsidR="003B7C2F" w:rsidRPr="003B7C2F" w14:paraId="29D77FD1" w14:textId="77777777" w:rsidTr="00363C5C">
        <w:trPr>
          <w:gridAfter w:val="1"/>
          <w:wAfter w:w="10" w:type="dxa"/>
        </w:trPr>
        <w:tc>
          <w:tcPr>
            <w:tcW w:w="4675" w:type="dxa"/>
          </w:tcPr>
          <w:p w14:paraId="16D4770C" w14:textId="77777777" w:rsidR="003B7C2F" w:rsidRPr="003B7C2F" w:rsidRDefault="003B7C2F" w:rsidP="003B7C2F">
            <w:pPr>
              <w:jc w:val="center"/>
              <w:rPr>
                <w:lang w:val="fr-BE"/>
              </w:rPr>
            </w:pPr>
          </w:p>
        </w:tc>
        <w:tc>
          <w:tcPr>
            <w:tcW w:w="4675" w:type="dxa"/>
          </w:tcPr>
          <w:p w14:paraId="6FE7C758" w14:textId="77777777" w:rsidR="003B7C2F" w:rsidRPr="003B7C2F" w:rsidRDefault="003B7C2F" w:rsidP="00215862">
            <w:pPr>
              <w:rPr>
                <w:lang w:val="fr-BE"/>
              </w:rPr>
            </w:pPr>
          </w:p>
        </w:tc>
      </w:tr>
      <w:tr w:rsidR="003B7C2F" w:rsidRPr="00D85A38" w14:paraId="73EFD996" w14:textId="77777777" w:rsidTr="00363C5C">
        <w:trPr>
          <w:gridAfter w:val="1"/>
          <w:wAfter w:w="10" w:type="dxa"/>
        </w:trPr>
        <w:tc>
          <w:tcPr>
            <w:tcW w:w="4675" w:type="dxa"/>
          </w:tcPr>
          <w:p w14:paraId="3FEF0B7A" w14:textId="515B10D8" w:rsidR="003B7C2F" w:rsidRPr="00F130C9" w:rsidRDefault="003B7C2F" w:rsidP="00F130C9">
            <w:pPr>
              <w:jc w:val="both"/>
              <w:rPr>
                <w:lang w:val="nl-BE"/>
              </w:rPr>
            </w:pPr>
            <w:r w:rsidRPr="00144DF0">
              <w:rPr>
                <w:lang w:val="nl-BE"/>
              </w:rPr>
              <w:t>Op de voordracht van de Minister van Sociale Zaken en Volksgezondheid en op het advies van de in Raad vergaderde ministers,</w:t>
            </w:r>
          </w:p>
        </w:tc>
        <w:tc>
          <w:tcPr>
            <w:tcW w:w="4675" w:type="dxa"/>
          </w:tcPr>
          <w:p w14:paraId="50980B21" w14:textId="23509DB7" w:rsidR="003B7C2F" w:rsidRPr="003B7C2F" w:rsidRDefault="003B7C2F" w:rsidP="00F130C9">
            <w:pPr>
              <w:jc w:val="both"/>
              <w:rPr>
                <w:lang w:val="fr-BE"/>
              </w:rPr>
            </w:pPr>
            <w:r w:rsidRPr="00F130C9">
              <w:rPr>
                <w:lang w:val="fr-BE"/>
              </w:rPr>
              <w:t>Sur la proposition du Ministre des Affaires sociales et de la Santé publique, et sur l'avis des ministres qui en ont délibéré en Conseil,</w:t>
            </w:r>
          </w:p>
        </w:tc>
      </w:tr>
      <w:tr w:rsidR="003B7C2F" w:rsidRPr="00D85A38" w14:paraId="36A158A2" w14:textId="77777777" w:rsidTr="00363C5C">
        <w:trPr>
          <w:gridAfter w:val="1"/>
          <w:wAfter w:w="10" w:type="dxa"/>
        </w:trPr>
        <w:tc>
          <w:tcPr>
            <w:tcW w:w="4675" w:type="dxa"/>
          </w:tcPr>
          <w:p w14:paraId="6657AF8F" w14:textId="77777777" w:rsidR="003B7C2F" w:rsidRPr="003B7C2F" w:rsidRDefault="003B7C2F" w:rsidP="003B7C2F">
            <w:pPr>
              <w:jc w:val="center"/>
              <w:rPr>
                <w:lang w:val="fr-BE"/>
              </w:rPr>
            </w:pPr>
          </w:p>
        </w:tc>
        <w:tc>
          <w:tcPr>
            <w:tcW w:w="4675" w:type="dxa"/>
          </w:tcPr>
          <w:p w14:paraId="4CF6E44E" w14:textId="77777777" w:rsidR="003B7C2F" w:rsidRPr="003B7C2F" w:rsidRDefault="003B7C2F" w:rsidP="00215862">
            <w:pPr>
              <w:rPr>
                <w:lang w:val="fr-BE"/>
              </w:rPr>
            </w:pPr>
          </w:p>
        </w:tc>
      </w:tr>
      <w:tr w:rsidR="003B7C2F" w:rsidRPr="00D85A38" w14:paraId="4B9A584F" w14:textId="77777777" w:rsidTr="00363C5C">
        <w:trPr>
          <w:gridAfter w:val="1"/>
          <w:wAfter w:w="10" w:type="dxa"/>
        </w:trPr>
        <w:tc>
          <w:tcPr>
            <w:tcW w:w="4675" w:type="dxa"/>
          </w:tcPr>
          <w:p w14:paraId="4FA2D9EC" w14:textId="18FA341C" w:rsidR="003B7C2F" w:rsidRPr="00F130C9" w:rsidRDefault="003B7C2F" w:rsidP="003B7C2F">
            <w:pPr>
              <w:jc w:val="center"/>
              <w:rPr>
                <w:b/>
                <w:bCs/>
                <w:lang w:val="nl-BE"/>
              </w:rPr>
            </w:pPr>
            <w:r w:rsidRPr="00144DF0">
              <w:rPr>
                <w:b/>
                <w:bCs/>
                <w:lang w:val="nl-BE"/>
              </w:rPr>
              <w:t>HEBBEN WIJ BESLOTEN EN BESLUITEN WIJ:</w:t>
            </w:r>
          </w:p>
        </w:tc>
        <w:tc>
          <w:tcPr>
            <w:tcW w:w="4675" w:type="dxa"/>
          </w:tcPr>
          <w:p w14:paraId="358F0AB3" w14:textId="35411E38" w:rsidR="003B7C2F" w:rsidRPr="00F130C9" w:rsidRDefault="003B7C2F" w:rsidP="00F130C9">
            <w:pPr>
              <w:jc w:val="center"/>
              <w:rPr>
                <w:b/>
                <w:bCs/>
                <w:lang w:val="fr-BE"/>
              </w:rPr>
            </w:pPr>
            <w:r w:rsidRPr="00F130C9">
              <w:rPr>
                <w:b/>
                <w:bCs/>
                <w:lang w:val="fr-BE"/>
              </w:rPr>
              <w:t>NOUS AVONS ARRÊTÉ ET ARRÊTONS:</w:t>
            </w:r>
          </w:p>
        </w:tc>
      </w:tr>
      <w:tr w:rsidR="003B7C2F" w:rsidRPr="00D85A38" w14:paraId="26D40DDB" w14:textId="77777777" w:rsidTr="00363C5C">
        <w:trPr>
          <w:gridAfter w:val="1"/>
          <w:wAfter w:w="10" w:type="dxa"/>
        </w:trPr>
        <w:tc>
          <w:tcPr>
            <w:tcW w:w="4675" w:type="dxa"/>
          </w:tcPr>
          <w:p w14:paraId="4C70C0D6" w14:textId="77777777" w:rsidR="003B7C2F" w:rsidRPr="00F130C9" w:rsidRDefault="003B7C2F" w:rsidP="003B7C2F">
            <w:pPr>
              <w:jc w:val="center"/>
              <w:rPr>
                <w:b/>
                <w:bCs/>
                <w:lang w:val="fr-BE"/>
              </w:rPr>
            </w:pPr>
          </w:p>
        </w:tc>
        <w:tc>
          <w:tcPr>
            <w:tcW w:w="4675" w:type="dxa"/>
          </w:tcPr>
          <w:p w14:paraId="1CA2A657" w14:textId="77777777" w:rsidR="003B7C2F" w:rsidRPr="003B7C2F" w:rsidRDefault="003B7C2F" w:rsidP="003B7C2F">
            <w:pPr>
              <w:jc w:val="center"/>
              <w:rPr>
                <w:b/>
                <w:bCs/>
                <w:lang w:val="fr-BE"/>
              </w:rPr>
            </w:pPr>
          </w:p>
        </w:tc>
      </w:tr>
      <w:tr w:rsidR="003B7C2F" w:rsidRPr="00D85A38" w14:paraId="5BDE2EDB" w14:textId="77777777" w:rsidTr="00363C5C">
        <w:trPr>
          <w:gridAfter w:val="1"/>
          <w:wAfter w:w="10" w:type="dxa"/>
        </w:trPr>
        <w:tc>
          <w:tcPr>
            <w:tcW w:w="4675" w:type="dxa"/>
          </w:tcPr>
          <w:p w14:paraId="59507283" w14:textId="58850D17" w:rsidR="003B7C2F" w:rsidRPr="003B7C2F" w:rsidRDefault="003B7C2F" w:rsidP="00F130C9">
            <w:pPr>
              <w:jc w:val="both"/>
              <w:rPr>
                <w:b/>
                <w:bCs/>
                <w:lang w:val="nl-BE"/>
              </w:rPr>
            </w:pPr>
            <w:r w:rsidRPr="00144DF0">
              <w:rPr>
                <w:b/>
                <w:bCs/>
                <w:lang w:val="nl-BE"/>
              </w:rPr>
              <w:t>De Minister van Sociale Zaken en Volksgezondheid is ermee belast in onze naam bij de Kamer van volksvertegenwoordigers het ontwerp van wet in te dienen waarvan de tekst hierna volgt:</w:t>
            </w:r>
          </w:p>
        </w:tc>
        <w:tc>
          <w:tcPr>
            <w:tcW w:w="4675" w:type="dxa"/>
          </w:tcPr>
          <w:p w14:paraId="7E45EE91" w14:textId="4BD6FE98" w:rsidR="003B7C2F" w:rsidRPr="003B7C2F" w:rsidRDefault="003B7C2F" w:rsidP="00F130C9">
            <w:pPr>
              <w:jc w:val="both"/>
              <w:rPr>
                <w:b/>
                <w:bCs/>
                <w:lang w:val="fr-BE"/>
              </w:rPr>
            </w:pPr>
            <w:r w:rsidRPr="00F130C9">
              <w:rPr>
                <w:b/>
                <w:bCs/>
                <w:lang w:val="fr-BE"/>
              </w:rPr>
              <w:t>Le Ministre des Affaires sociales et de la Santé publique est chargé</w:t>
            </w:r>
            <w:r w:rsidR="00542324">
              <w:rPr>
                <w:b/>
                <w:bCs/>
                <w:lang w:val="fr-BE"/>
              </w:rPr>
              <w:t xml:space="preserve"> </w:t>
            </w:r>
            <w:r w:rsidRPr="00F130C9">
              <w:rPr>
                <w:b/>
                <w:bCs/>
                <w:lang w:val="fr-BE"/>
              </w:rPr>
              <w:t>de présenter en notre nom à la Chambre des représentants le projet de loi dont la teneur suit :</w:t>
            </w:r>
          </w:p>
        </w:tc>
      </w:tr>
      <w:tr w:rsidR="003B7C2F" w:rsidRPr="00D85A38" w14:paraId="4C7A19FE" w14:textId="77777777" w:rsidTr="00363C5C">
        <w:trPr>
          <w:gridAfter w:val="1"/>
          <w:wAfter w:w="10" w:type="dxa"/>
        </w:trPr>
        <w:tc>
          <w:tcPr>
            <w:tcW w:w="4675" w:type="dxa"/>
          </w:tcPr>
          <w:p w14:paraId="4453E3B3" w14:textId="77777777" w:rsidR="003B7C2F" w:rsidRPr="00F130C9" w:rsidRDefault="003B7C2F" w:rsidP="003B7C2F">
            <w:pPr>
              <w:jc w:val="both"/>
              <w:rPr>
                <w:b/>
                <w:bCs/>
                <w:lang w:val="fr-BE"/>
              </w:rPr>
            </w:pPr>
          </w:p>
        </w:tc>
        <w:tc>
          <w:tcPr>
            <w:tcW w:w="4675" w:type="dxa"/>
          </w:tcPr>
          <w:p w14:paraId="61531C86" w14:textId="77777777" w:rsidR="003B7C2F" w:rsidRPr="003B7C2F" w:rsidRDefault="003B7C2F" w:rsidP="003B7C2F">
            <w:pPr>
              <w:jc w:val="both"/>
              <w:rPr>
                <w:b/>
                <w:bCs/>
                <w:lang w:val="fr-BE"/>
              </w:rPr>
            </w:pPr>
          </w:p>
        </w:tc>
      </w:tr>
      <w:tr w:rsidR="003B7C2F" w:rsidRPr="003B7C2F" w14:paraId="3C9056B9" w14:textId="77777777" w:rsidTr="00363C5C">
        <w:trPr>
          <w:gridAfter w:val="1"/>
          <w:wAfter w:w="10" w:type="dxa"/>
        </w:trPr>
        <w:tc>
          <w:tcPr>
            <w:tcW w:w="4675" w:type="dxa"/>
          </w:tcPr>
          <w:p w14:paraId="38B54251" w14:textId="42017858" w:rsidR="003B7C2F" w:rsidRPr="00F130C9" w:rsidRDefault="003B7C2F" w:rsidP="003B7C2F">
            <w:pPr>
              <w:jc w:val="both"/>
              <w:rPr>
                <w:rFonts w:ascii="Arial" w:hAnsi="Arial" w:cs="Arial"/>
                <w:b/>
                <w:iCs/>
                <w:lang w:val="nl-BE"/>
              </w:rPr>
            </w:pPr>
            <w:r w:rsidRPr="00F130C9">
              <w:rPr>
                <w:rFonts w:ascii="Arial" w:hAnsi="Arial" w:cs="Arial"/>
                <w:b/>
                <w:iCs/>
                <w:lang w:val="fr"/>
              </w:rPr>
              <w:t>TITEL 1 – INLEIDENDE BEPALING</w:t>
            </w:r>
          </w:p>
        </w:tc>
        <w:tc>
          <w:tcPr>
            <w:tcW w:w="4675" w:type="dxa"/>
          </w:tcPr>
          <w:p w14:paraId="1CBDE895" w14:textId="5BBCF2F9" w:rsidR="003B7C2F" w:rsidRPr="00F130C9" w:rsidRDefault="003B7C2F" w:rsidP="003B7C2F">
            <w:pPr>
              <w:jc w:val="both"/>
              <w:rPr>
                <w:rFonts w:ascii="Arial" w:hAnsi="Arial" w:cs="Arial"/>
                <w:b/>
                <w:iCs/>
                <w:lang w:val="nl-BE"/>
              </w:rPr>
            </w:pPr>
            <w:r w:rsidRPr="00F130C9">
              <w:rPr>
                <w:rFonts w:ascii="Arial" w:hAnsi="Arial" w:cs="Arial"/>
                <w:b/>
                <w:iCs/>
                <w:lang w:val="fr"/>
              </w:rPr>
              <w:t>TITRE 1er – DISPOSITION INTRODUCTIVE</w:t>
            </w:r>
          </w:p>
        </w:tc>
      </w:tr>
      <w:tr w:rsidR="003B7C2F" w:rsidRPr="003B7C2F" w14:paraId="32798D9D" w14:textId="77777777" w:rsidTr="00363C5C">
        <w:trPr>
          <w:gridAfter w:val="1"/>
          <w:wAfter w:w="10" w:type="dxa"/>
        </w:trPr>
        <w:tc>
          <w:tcPr>
            <w:tcW w:w="4675" w:type="dxa"/>
          </w:tcPr>
          <w:p w14:paraId="65B29AD3" w14:textId="77777777" w:rsidR="003B7C2F" w:rsidRPr="003B7C2F" w:rsidRDefault="003B7C2F" w:rsidP="003B7C2F">
            <w:pPr>
              <w:jc w:val="both"/>
              <w:rPr>
                <w:rFonts w:ascii="Arial" w:hAnsi="Arial" w:cs="Arial"/>
                <w:b/>
                <w:iCs/>
                <w:lang w:val="nl-BE"/>
              </w:rPr>
            </w:pPr>
          </w:p>
        </w:tc>
        <w:tc>
          <w:tcPr>
            <w:tcW w:w="4675" w:type="dxa"/>
          </w:tcPr>
          <w:p w14:paraId="0FEA8193" w14:textId="77777777" w:rsidR="003B7C2F" w:rsidRPr="003B7C2F" w:rsidRDefault="003B7C2F" w:rsidP="003B7C2F">
            <w:pPr>
              <w:jc w:val="both"/>
              <w:rPr>
                <w:rFonts w:ascii="Arial" w:hAnsi="Arial" w:cs="Arial"/>
                <w:b/>
                <w:iCs/>
                <w:lang w:val="nl-BE"/>
              </w:rPr>
            </w:pPr>
          </w:p>
        </w:tc>
      </w:tr>
      <w:tr w:rsidR="003B7C2F" w:rsidRPr="00D85A38" w14:paraId="339F7A69" w14:textId="77777777" w:rsidTr="00363C5C">
        <w:trPr>
          <w:gridAfter w:val="1"/>
          <w:wAfter w:w="10" w:type="dxa"/>
        </w:trPr>
        <w:tc>
          <w:tcPr>
            <w:tcW w:w="4675" w:type="dxa"/>
          </w:tcPr>
          <w:p w14:paraId="5731B1B9" w14:textId="4DCC097F" w:rsidR="003B7C2F" w:rsidRPr="00F130C9" w:rsidRDefault="003B7C2F" w:rsidP="003B7C2F">
            <w:pPr>
              <w:jc w:val="both"/>
              <w:rPr>
                <w:lang w:val="nl-BE"/>
              </w:rPr>
            </w:pPr>
            <w:r w:rsidRPr="00144DF0">
              <w:rPr>
                <w:b/>
                <w:bCs/>
                <w:lang w:val="nl-BE"/>
              </w:rPr>
              <w:t>Artikel 1.</w:t>
            </w:r>
            <w:r w:rsidRPr="00144DF0">
              <w:rPr>
                <w:lang w:val="nl-BE"/>
              </w:rPr>
              <w:t xml:space="preserve"> Deze wet regelt een aangelegenheid als bedoeld in artikel 74 van de Grondwet.</w:t>
            </w:r>
          </w:p>
        </w:tc>
        <w:tc>
          <w:tcPr>
            <w:tcW w:w="4675" w:type="dxa"/>
          </w:tcPr>
          <w:p w14:paraId="287BE225" w14:textId="005ECD82" w:rsidR="003B7C2F" w:rsidRPr="00F130C9" w:rsidRDefault="003B7C2F" w:rsidP="003B7C2F">
            <w:pPr>
              <w:jc w:val="both"/>
              <w:rPr>
                <w:lang w:val="fr-BE"/>
              </w:rPr>
            </w:pPr>
            <w:r w:rsidRPr="00F130C9">
              <w:rPr>
                <w:b/>
                <w:bCs/>
                <w:lang w:val="fr-BE"/>
              </w:rPr>
              <w:t xml:space="preserve">Article 1er. </w:t>
            </w:r>
            <w:r w:rsidRPr="00F130C9">
              <w:rPr>
                <w:lang w:val="fr-BE"/>
              </w:rPr>
              <w:t>La présente loi règle une matière visée à l’article 74 de la Constitution.</w:t>
            </w:r>
          </w:p>
        </w:tc>
      </w:tr>
      <w:tr w:rsidR="003B7C2F" w:rsidRPr="00D85A38" w14:paraId="3DB84F9D" w14:textId="77777777" w:rsidTr="00363C5C">
        <w:trPr>
          <w:gridAfter w:val="1"/>
          <w:wAfter w:w="10" w:type="dxa"/>
        </w:trPr>
        <w:tc>
          <w:tcPr>
            <w:tcW w:w="4675" w:type="dxa"/>
          </w:tcPr>
          <w:p w14:paraId="5D42A4E4" w14:textId="77777777" w:rsidR="003B7C2F" w:rsidRPr="00F130C9" w:rsidRDefault="003B7C2F" w:rsidP="003B7C2F">
            <w:pPr>
              <w:jc w:val="both"/>
              <w:rPr>
                <w:b/>
                <w:bCs/>
                <w:lang w:val="fr-BE"/>
              </w:rPr>
            </w:pPr>
          </w:p>
        </w:tc>
        <w:tc>
          <w:tcPr>
            <w:tcW w:w="4675" w:type="dxa"/>
          </w:tcPr>
          <w:p w14:paraId="60BC954B" w14:textId="77777777" w:rsidR="003B7C2F" w:rsidRPr="003B7C2F" w:rsidRDefault="003B7C2F" w:rsidP="003B7C2F">
            <w:pPr>
              <w:jc w:val="both"/>
              <w:rPr>
                <w:b/>
                <w:bCs/>
                <w:lang w:val="fr-BE"/>
              </w:rPr>
            </w:pPr>
          </w:p>
        </w:tc>
      </w:tr>
      <w:tr w:rsidR="003C74B3" w:rsidRPr="00D85A38" w14:paraId="74E8402D" w14:textId="77777777" w:rsidTr="00363C5C">
        <w:trPr>
          <w:gridAfter w:val="1"/>
          <w:wAfter w:w="10" w:type="dxa"/>
        </w:trPr>
        <w:tc>
          <w:tcPr>
            <w:tcW w:w="4675" w:type="dxa"/>
          </w:tcPr>
          <w:p w14:paraId="39BFBFA5" w14:textId="7BEF67E2" w:rsidR="003C74B3" w:rsidRPr="002F2474" w:rsidRDefault="003C74B3" w:rsidP="003C74B3">
            <w:pPr>
              <w:rPr>
                <w:rFonts w:ascii="Arial" w:hAnsi="Arial" w:cs="Arial"/>
                <w:b/>
                <w:iCs/>
                <w:caps/>
                <w:lang w:val="nl-BE"/>
              </w:rPr>
            </w:pPr>
            <w:r w:rsidRPr="002F2474">
              <w:rPr>
                <w:rFonts w:ascii="Arial" w:hAnsi="Arial" w:cs="Arial"/>
                <w:b/>
                <w:iCs/>
                <w:caps/>
                <w:lang w:val="nl-BE"/>
              </w:rPr>
              <w:t xml:space="preserve">TITEL </w:t>
            </w:r>
            <w:r w:rsidR="007063B3">
              <w:rPr>
                <w:rFonts w:ascii="Arial" w:hAnsi="Arial" w:cs="Arial"/>
                <w:b/>
                <w:iCs/>
                <w:caps/>
                <w:lang w:val="nl-BE"/>
              </w:rPr>
              <w:t>2</w:t>
            </w:r>
            <w:r w:rsidRPr="002F2474">
              <w:rPr>
                <w:rFonts w:ascii="Arial" w:hAnsi="Arial" w:cs="Arial"/>
                <w:b/>
                <w:iCs/>
                <w:caps/>
                <w:lang w:val="nl-BE"/>
              </w:rPr>
              <w:t xml:space="preserve"> –</w:t>
            </w:r>
            <w:r w:rsidR="0065164D" w:rsidRPr="0065164D">
              <w:rPr>
                <w:rFonts w:ascii="Arial" w:hAnsi="Arial" w:cs="Arial"/>
                <w:b/>
                <w:bCs/>
                <w:iCs/>
                <w:caps/>
                <w:lang w:val="nl-BE"/>
              </w:rPr>
              <w:t xml:space="preserve"> wijziging van de wet van 21 augustus 2008 houdende oprichting en organisatie van het eHealth-platform en diverse bepalingen</w:t>
            </w:r>
          </w:p>
        </w:tc>
        <w:tc>
          <w:tcPr>
            <w:tcW w:w="4675" w:type="dxa"/>
          </w:tcPr>
          <w:p w14:paraId="0C27FB81" w14:textId="766F071F" w:rsidR="003C74B3" w:rsidRPr="002F2474" w:rsidRDefault="003C74B3" w:rsidP="003C74B3">
            <w:pPr>
              <w:rPr>
                <w:rFonts w:ascii="Arial" w:hAnsi="Arial" w:cs="Arial"/>
                <w:b/>
                <w:i/>
                <w:caps/>
                <w:lang w:val="fr-BE"/>
              </w:rPr>
            </w:pPr>
            <w:r w:rsidRPr="002F2474">
              <w:rPr>
                <w:rFonts w:ascii="Arial" w:hAnsi="Arial" w:cs="Arial"/>
                <w:b/>
                <w:iCs/>
                <w:caps/>
                <w:lang w:val="fr"/>
              </w:rPr>
              <w:t>TITRE </w:t>
            </w:r>
            <w:r w:rsidR="007063B3">
              <w:rPr>
                <w:rFonts w:ascii="Arial" w:hAnsi="Arial" w:cs="Arial"/>
                <w:b/>
                <w:iCs/>
                <w:caps/>
                <w:lang w:val="fr"/>
              </w:rPr>
              <w:t>2</w:t>
            </w:r>
            <w:r w:rsidRPr="002F2474">
              <w:rPr>
                <w:rFonts w:ascii="Arial" w:hAnsi="Arial" w:cs="Arial"/>
                <w:b/>
                <w:iCs/>
                <w:caps/>
                <w:lang w:val="fr"/>
              </w:rPr>
              <w:t xml:space="preserve"> </w:t>
            </w:r>
            <w:r>
              <w:rPr>
                <w:rFonts w:ascii="Arial" w:hAnsi="Arial" w:cs="Arial"/>
                <w:b/>
                <w:iCs/>
                <w:caps/>
                <w:lang w:val="fr"/>
              </w:rPr>
              <w:t>–</w:t>
            </w:r>
            <w:r w:rsidRPr="002F2474">
              <w:rPr>
                <w:rFonts w:ascii="Arial" w:hAnsi="Arial" w:cs="Arial"/>
                <w:b/>
                <w:iCs/>
                <w:caps/>
                <w:lang w:val="fr"/>
              </w:rPr>
              <w:t xml:space="preserve"> </w:t>
            </w:r>
            <w:r w:rsidR="0065164D" w:rsidRPr="0065164D">
              <w:rPr>
                <w:rFonts w:ascii="Arial" w:hAnsi="Arial" w:cs="Arial"/>
                <w:b/>
                <w:iCs/>
                <w:caps/>
                <w:lang w:val="fr"/>
              </w:rPr>
              <w:t>MODIFICATION DE LA LOI DU 21 AOÛT 2008 RELATIVE À L'INSTITUTION ET À L’ORGANISATION DE LA PLATE-FORME EHEALTH ET PORTANT DIVERSES DISPOSITIONS</w:t>
            </w:r>
          </w:p>
        </w:tc>
      </w:tr>
      <w:tr w:rsidR="003C74B3" w:rsidRPr="00D85A38" w14:paraId="6F4CB8CD" w14:textId="77777777" w:rsidTr="00363C5C">
        <w:trPr>
          <w:gridAfter w:val="1"/>
          <w:wAfter w:w="10" w:type="dxa"/>
          <w:trHeight w:val="68"/>
        </w:trPr>
        <w:tc>
          <w:tcPr>
            <w:tcW w:w="4675" w:type="dxa"/>
          </w:tcPr>
          <w:p w14:paraId="2C30FC0A" w14:textId="77777777" w:rsidR="003C74B3" w:rsidRPr="00C45812" w:rsidRDefault="003C74B3" w:rsidP="003C74B3">
            <w:pPr>
              <w:jc w:val="both"/>
              <w:rPr>
                <w:lang w:val="fr-BE"/>
              </w:rPr>
            </w:pPr>
          </w:p>
        </w:tc>
        <w:tc>
          <w:tcPr>
            <w:tcW w:w="4675" w:type="dxa"/>
          </w:tcPr>
          <w:p w14:paraId="6E41D9C8" w14:textId="77777777" w:rsidR="003C74B3" w:rsidRDefault="003C74B3" w:rsidP="003C74B3">
            <w:pPr>
              <w:jc w:val="both"/>
              <w:rPr>
                <w:lang w:val="fr-BE"/>
              </w:rPr>
            </w:pPr>
          </w:p>
        </w:tc>
      </w:tr>
      <w:tr w:rsidR="003C74B3" w:rsidRPr="00D85A38" w14:paraId="60556E6C" w14:textId="77777777" w:rsidTr="00363C5C">
        <w:trPr>
          <w:gridAfter w:val="1"/>
          <w:wAfter w:w="10" w:type="dxa"/>
          <w:trHeight w:val="68"/>
        </w:trPr>
        <w:tc>
          <w:tcPr>
            <w:tcW w:w="4675" w:type="dxa"/>
          </w:tcPr>
          <w:p w14:paraId="449C2B0D" w14:textId="7FE83243" w:rsidR="003C74B3" w:rsidRPr="00162D6B" w:rsidRDefault="003C74B3" w:rsidP="003C74B3">
            <w:pPr>
              <w:jc w:val="both"/>
              <w:rPr>
                <w:lang w:val="nl-BE"/>
              </w:rPr>
            </w:pPr>
            <w:r>
              <w:rPr>
                <w:b/>
                <w:bCs/>
                <w:lang w:val="nl-BE"/>
              </w:rPr>
              <w:t>A</w:t>
            </w:r>
            <w:r w:rsidRPr="00162D6B">
              <w:rPr>
                <w:b/>
                <w:bCs/>
                <w:lang w:val="nl-BE"/>
              </w:rPr>
              <w:t xml:space="preserve">rt. </w:t>
            </w:r>
            <w:r w:rsidR="007063B3">
              <w:rPr>
                <w:b/>
                <w:bCs/>
                <w:lang w:val="nl-BE"/>
              </w:rPr>
              <w:t>2</w:t>
            </w:r>
            <w:r w:rsidRPr="00162D6B">
              <w:rPr>
                <w:b/>
                <w:bCs/>
                <w:lang w:val="nl-BE"/>
              </w:rPr>
              <w:t>.</w:t>
            </w:r>
            <w:r w:rsidRPr="00162D6B">
              <w:rPr>
                <w:lang w:val="nl-BE"/>
              </w:rPr>
              <w:t xml:space="preserve"> Artikel 5, 4°, b), van de wet van 21 augustus 2008 houdende oprichting en organisatie van het eHealth-platform en diverse bepalingen, gewijzigd bij de wet van 5 september 2018, wordt vervangen als volgt:</w:t>
            </w:r>
          </w:p>
        </w:tc>
        <w:tc>
          <w:tcPr>
            <w:tcW w:w="4675" w:type="dxa"/>
          </w:tcPr>
          <w:p w14:paraId="362C6618" w14:textId="745F5D29" w:rsidR="003C74B3" w:rsidRPr="00CE59B8" w:rsidRDefault="003C74B3" w:rsidP="003C74B3">
            <w:pPr>
              <w:jc w:val="both"/>
              <w:rPr>
                <w:lang w:val="fr-BE"/>
              </w:rPr>
            </w:pPr>
            <w:r w:rsidRPr="00CE59B8">
              <w:rPr>
                <w:b/>
                <w:bCs/>
                <w:lang w:val="fr-BE"/>
              </w:rPr>
              <w:t xml:space="preserve">Art. </w:t>
            </w:r>
            <w:r w:rsidR="007063B3">
              <w:rPr>
                <w:b/>
                <w:bCs/>
                <w:lang w:val="fr-BE"/>
              </w:rPr>
              <w:t>2</w:t>
            </w:r>
            <w:r w:rsidRPr="00CE59B8">
              <w:rPr>
                <w:b/>
                <w:bCs/>
                <w:lang w:val="fr-BE"/>
              </w:rPr>
              <w:t xml:space="preserve">.  </w:t>
            </w:r>
            <w:r w:rsidRPr="00CE59B8">
              <w:rPr>
                <w:lang w:val="fr-BE"/>
              </w:rPr>
              <w:t>L’article 5, 4°, b), de la loi du 21 août 2008 relative à l'institution et à l’organisation de la plate-forme eHealth et portant diverses dispositions, modifié par la loi du 5 septembre 2018, est remplacé par ce qui suit:</w:t>
            </w:r>
          </w:p>
        </w:tc>
      </w:tr>
      <w:tr w:rsidR="003C74B3" w:rsidRPr="00D85A38" w14:paraId="793EC9A8" w14:textId="77777777" w:rsidTr="00363C5C">
        <w:trPr>
          <w:gridAfter w:val="1"/>
          <w:wAfter w:w="10" w:type="dxa"/>
          <w:trHeight w:val="68"/>
        </w:trPr>
        <w:tc>
          <w:tcPr>
            <w:tcW w:w="4675" w:type="dxa"/>
          </w:tcPr>
          <w:p w14:paraId="71FE715D" w14:textId="77777777" w:rsidR="003C74B3" w:rsidRPr="003369C6" w:rsidRDefault="003C74B3" w:rsidP="003C74B3">
            <w:pPr>
              <w:jc w:val="both"/>
              <w:rPr>
                <w:lang w:val="nl-BE"/>
              </w:rPr>
            </w:pPr>
            <w:r w:rsidRPr="003369C6">
              <w:rPr>
                <w:lang w:val="nl-BE"/>
              </w:rPr>
              <w:t xml:space="preserve">“b) de nuttige basisdiensten ter ondersteuning van deze elektronische gegevensuitwisseling, zoals: </w:t>
            </w:r>
          </w:p>
          <w:p w14:paraId="49500262" w14:textId="77777777" w:rsidR="003C74B3" w:rsidRPr="003369C6" w:rsidRDefault="003C74B3" w:rsidP="003C74B3">
            <w:pPr>
              <w:jc w:val="both"/>
              <w:rPr>
                <w:lang w:val="nl-BE"/>
              </w:rPr>
            </w:pPr>
            <w:r w:rsidRPr="003369C6">
              <w:rPr>
                <w:lang w:val="nl-BE"/>
              </w:rPr>
              <w:t>-</w:t>
            </w:r>
            <w:r w:rsidRPr="003369C6">
              <w:rPr>
                <w:lang w:val="nl-BE"/>
              </w:rPr>
              <w:tab/>
              <w:t xml:space="preserve">een systeem van vercijfering van gegevens tussen verzender en bestemmeling; </w:t>
            </w:r>
          </w:p>
          <w:p w14:paraId="1D783E59" w14:textId="77777777" w:rsidR="003C74B3" w:rsidRPr="003369C6" w:rsidRDefault="003C74B3" w:rsidP="003C74B3">
            <w:pPr>
              <w:jc w:val="both"/>
              <w:rPr>
                <w:lang w:val="nl-BE"/>
              </w:rPr>
            </w:pPr>
            <w:r w:rsidRPr="003369C6">
              <w:rPr>
                <w:lang w:val="nl-BE"/>
              </w:rPr>
              <w:lastRenderedPageBreak/>
              <w:t>-</w:t>
            </w:r>
            <w:r w:rsidRPr="003369C6">
              <w:rPr>
                <w:lang w:val="nl-BE"/>
              </w:rPr>
              <w:tab/>
              <w:t>een systeem voor gebruikers- en toegangsbeheer;</w:t>
            </w:r>
          </w:p>
          <w:p w14:paraId="28FCA085" w14:textId="77777777" w:rsidR="003C74B3" w:rsidRPr="003369C6" w:rsidRDefault="003C74B3" w:rsidP="003C74B3">
            <w:pPr>
              <w:jc w:val="both"/>
              <w:rPr>
                <w:lang w:val="nl-BE"/>
              </w:rPr>
            </w:pPr>
            <w:r w:rsidRPr="003369C6">
              <w:rPr>
                <w:lang w:val="nl-BE"/>
              </w:rPr>
              <w:t>-</w:t>
            </w:r>
            <w:r w:rsidRPr="003369C6">
              <w:rPr>
                <w:lang w:val="nl-BE"/>
              </w:rPr>
              <w:tab/>
              <w:t>een beveiligde elektronische brievenbus voor elke actor in de gezondheidszorg,</w:t>
            </w:r>
          </w:p>
          <w:p w14:paraId="7EA6CD07" w14:textId="77777777" w:rsidR="003C74B3" w:rsidRPr="003369C6" w:rsidRDefault="003C74B3" w:rsidP="003C74B3">
            <w:pPr>
              <w:jc w:val="both"/>
              <w:rPr>
                <w:lang w:val="nl-BE"/>
              </w:rPr>
            </w:pPr>
            <w:r w:rsidRPr="003369C6">
              <w:rPr>
                <w:lang w:val="nl-BE"/>
              </w:rPr>
              <w:t>-</w:t>
            </w:r>
            <w:r w:rsidRPr="003369C6">
              <w:rPr>
                <w:lang w:val="nl-BE"/>
              </w:rPr>
              <w:tab/>
              <w:t xml:space="preserve">een systeem voor elektronische datering; </w:t>
            </w:r>
          </w:p>
          <w:p w14:paraId="60148704" w14:textId="77777777" w:rsidR="003C74B3" w:rsidRPr="003369C6" w:rsidRDefault="003C74B3" w:rsidP="003C74B3">
            <w:pPr>
              <w:jc w:val="both"/>
              <w:rPr>
                <w:lang w:val="nl-BE"/>
              </w:rPr>
            </w:pPr>
            <w:r w:rsidRPr="003369C6">
              <w:rPr>
                <w:lang w:val="nl-BE"/>
              </w:rPr>
              <w:t>-</w:t>
            </w:r>
            <w:r w:rsidRPr="003369C6">
              <w:rPr>
                <w:lang w:val="nl-BE"/>
              </w:rPr>
              <w:tab/>
              <w:t xml:space="preserve">een systeem voor pseudonimisering en anonimisering van informatie, </w:t>
            </w:r>
          </w:p>
          <w:p w14:paraId="61AA14B0" w14:textId="0E8C9FDD" w:rsidR="003C74B3" w:rsidRPr="003369C6" w:rsidRDefault="003C74B3" w:rsidP="003C74B3">
            <w:pPr>
              <w:jc w:val="both"/>
              <w:rPr>
                <w:lang w:val="nl-BE"/>
              </w:rPr>
            </w:pPr>
            <w:r w:rsidRPr="003369C6">
              <w:rPr>
                <w:lang w:val="nl-BE"/>
              </w:rPr>
              <w:t>-</w:t>
            </w:r>
            <w:r w:rsidRPr="003369C6">
              <w:rPr>
                <w:lang w:val="nl-BE"/>
              </w:rPr>
              <w:tab/>
              <w:t>in eventuele samenwerking met deelverwijzingsrepertoria, beheerd door actoren in de gezondheidszorg, een verwijzingsrepertorium met de aanduiding bij welke actoren in de gezondheidszorg welke types van gegevens worden bewaard met betrekking tot welke patiënten; de implementatie van het verwijzingsrepertorium kan slechts geschieden na beraadslaging van de kamer sociale zekerheid en gezondheid van het informatieveiligheidscomité; de raadpleging van het verwijzingsrepertorium, door andere dan de betrokkene of zijn wettelijke vertegenwoordigers, kan slechts geschieden voor zover de betrokkene daartoe zijn toestemming heeft verleend;”.</w:t>
            </w:r>
          </w:p>
        </w:tc>
        <w:tc>
          <w:tcPr>
            <w:tcW w:w="4675" w:type="dxa"/>
          </w:tcPr>
          <w:p w14:paraId="1E6ECD30" w14:textId="77777777" w:rsidR="003C74B3" w:rsidRPr="009B509C" w:rsidRDefault="003C74B3" w:rsidP="003C74B3">
            <w:pPr>
              <w:jc w:val="both"/>
              <w:rPr>
                <w:lang w:val="fr-BE"/>
              </w:rPr>
            </w:pPr>
            <w:r w:rsidRPr="009B509C">
              <w:rPr>
                <w:lang w:val="fr-BE"/>
              </w:rPr>
              <w:lastRenderedPageBreak/>
              <w:t xml:space="preserve">« b) les services de base utiles à l'appui de cet échange de données électronique, tels que: </w:t>
            </w:r>
          </w:p>
          <w:p w14:paraId="1BC26AF4" w14:textId="77777777" w:rsidR="003C74B3" w:rsidRPr="009B509C" w:rsidRDefault="003C74B3" w:rsidP="003C74B3">
            <w:pPr>
              <w:jc w:val="both"/>
              <w:rPr>
                <w:lang w:val="fr-BE"/>
              </w:rPr>
            </w:pPr>
            <w:r w:rsidRPr="009B509C">
              <w:rPr>
                <w:lang w:val="fr-BE"/>
              </w:rPr>
              <w:t>-</w:t>
            </w:r>
            <w:r w:rsidRPr="009B509C">
              <w:rPr>
                <w:lang w:val="fr-BE"/>
              </w:rPr>
              <w:tab/>
              <w:t xml:space="preserve">un système de cryptage des données entre l’expéditeur et le destinataire; </w:t>
            </w:r>
          </w:p>
          <w:p w14:paraId="0C8DD52E" w14:textId="77777777" w:rsidR="003C74B3" w:rsidRPr="009B509C" w:rsidRDefault="003C74B3" w:rsidP="003C74B3">
            <w:pPr>
              <w:jc w:val="both"/>
              <w:rPr>
                <w:lang w:val="fr-BE"/>
              </w:rPr>
            </w:pPr>
            <w:r w:rsidRPr="009B509C">
              <w:rPr>
                <w:lang w:val="fr-BE"/>
              </w:rPr>
              <w:lastRenderedPageBreak/>
              <w:t>-</w:t>
            </w:r>
            <w:r w:rsidRPr="009B509C">
              <w:rPr>
                <w:lang w:val="fr-BE"/>
              </w:rPr>
              <w:tab/>
              <w:t>un système de gestion des accès et des utilisateurs;</w:t>
            </w:r>
          </w:p>
          <w:p w14:paraId="38380494" w14:textId="77777777" w:rsidR="003C74B3" w:rsidRPr="009B509C" w:rsidRDefault="003C74B3" w:rsidP="003C74B3">
            <w:pPr>
              <w:jc w:val="both"/>
              <w:rPr>
                <w:lang w:val="fr-BE"/>
              </w:rPr>
            </w:pPr>
            <w:r w:rsidRPr="009B509C">
              <w:rPr>
                <w:lang w:val="fr-BE"/>
              </w:rPr>
              <w:t>-</w:t>
            </w:r>
            <w:r w:rsidRPr="009B509C">
              <w:rPr>
                <w:lang w:val="fr-BE"/>
              </w:rPr>
              <w:tab/>
              <w:t>une boîte aux lettres électronique sécurisée pour chaque acteur des soins de santé;</w:t>
            </w:r>
          </w:p>
          <w:p w14:paraId="58146473" w14:textId="77777777" w:rsidR="003C74B3" w:rsidRPr="009B509C" w:rsidRDefault="003C74B3" w:rsidP="003C74B3">
            <w:pPr>
              <w:jc w:val="both"/>
              <w:rPr>
                <w:lang w:val="fr-BE"/>
              </w:rPr>
            </w:pPr>
            <w:r w:rsidRPr="009B509C">
              <w:rPr>
                <w:lang w:val="fr-BE"/>
              </w:rPr>
              <w:t>-</w:t>
            </w:r>
            <w:r w:rsidRPr="009B509C">
              <w:rPr>
                <w:lang w:val="fr-BE"/>
              </w:rPr>
              <w:tab/>
              <w:t xml:space="preserve">un système de datage électronique; </w:t>
            </w:r>
          </w:p>
          <w:p w14:paraId="215E82F2" w14:textId="77777777" w:rsidR="003C74B3" w:rsidRPr="009B509C" w:rsidRDefault="003C74B3" w:rsidP="003C74B3">
            <w:pPr>
              <w:jc w:val="both"/>
              <w:rPr>
                <w:lang w:val="fr-BE"/>
              </w:rPr>
            </w:pPr>
            <w:r w:rsidRPr="009B509C">
              <w:rPr>
                <w:lang w:val="fr-BE"/>
              </w:rPr>
              <w:t>-</w:t>
            </w:r>
            <w:r w:rsidRPr="009B509C">
              <w:rPr>
                <w:lang w:val="fr-BE"/>
              </w:rPr>
              <w:tab/>
              <w:t xml:space="preserve">un système de pseudonymisation et d’anonymisation des informations; </w:t>
            </w:r>
          </w:p>
          <w:p w14:paraId="54E8923B" w14:textId="3197D779" w:rsidR="003C74B3" w:rsidRPr="009B509C" w:rsidRDefault="003C74B3" w:rsidP="003C74B3">
            <w:pPr>
              <w:jc w:val="both"/>
              <w:rPr>
                <w:lang w:val="fr-BE"/>
              </w:rPr>
            </w:pPr>
            <w:r w:rsidRPr="009B509C">
              <w:rPr>
                <w:lang w:val="fr-BE"/>
              </w:rPr>
              <w:t>-</w:t>
            </w:r>
            <w:r w:rsidRPr="009B509C">
              <w:rPr>
                <w:lang w:val="fr-BE"/>
              </w:rPr>
              <w:tab/>
              <w:t>en collaboration éventuelle avec des répertoires des références sectoriels, gérés par les acteurs des soins de santé, un répertoire des références indiquant auprès de quels acteurs des soins de santé sont conservés quels types de données pour quels patients; l’implémentation du répertoire des références ne pourra être réalisée qu’après délibération de la chambre sécurité sociale et santé du Comité de sécurité de l’information; la consultation du répertoire des références par des personnes autres que la personne concernée ou ses représentants légaux n’est possible que dans la mesure où la personne concernée a donné son consentement à cet effet;».</w:t>
            </w:r>
          </w:p>
        </w:tc>
      </w:tr>
      <w:tr w:rsidR="003C74B3" w:rsidRPr="00D85A38" w14:paraId="79F8C651" w14:textId="77777777" w:rsidTr="00363C5C">
        <w:trPr>
          <w:gridAfter w:val="1"/>
          <w:wAfter w:w="10" w:type="dxa"/>
          <w:trHeight w:val="68"/>
        </w:trPr>
        <w:tc>
          <w:tcPr>
            <w:tcW w:w="4675" w:type="dxa"/>
          </w:tcPr>
          <w:p w14:paraId="4DB70470" w14:textId="77777777" w:rsidR="003C74B3" w:rsidRPr="009B509C" w:rsidRDefault="003C74B3" w:rsidP="003C74B3">
            <w:pPr>
              <w:jc w:val="both"/>
              <w:rPr>
                <w:b/>
                <w:bCs/>
                <w:lang w:val="fr-BE"/>
              </w:rPr>
            </w:pPr>
          </w:p>
        </w:tc>
        <w:tc>
          <w:tcPr>
            <w:tcW w:w="4675" w:type="dxa"/>
          </w:tcPr>
          <w:p w14:paraId="01321914" w14:textId="77777777" w:rsidR="003C74B3" w:rsidRPr="009B509C" w:rsidRDefault="003C74B3" w:rsidP="003C74B3">
            <w:pPr>
              <w:jc w:val="both"/>
              <w:rPr>
                <w:lang w:val="fr-BE"/>
              </w:rPr>
            </w:pPr>
          </w:p>
        </w:tc>
      </w:tr>
      <w:tr w:rsidR="003C74B3" w:rsidRPr="00D85A38" w14:paraId="287A5E28" w14:textId="77777777" w:rsidTr="00363C5C">
        <w:trPr>
          <w:gridAfter w:val="1"/>
          <w:wAfter w:w="10" w:type="dxa"/>
          <w:trHeight w:val="68"/>
        </w:trPr>
        <w:tc>
          <w:tcPr>
            <w:tcW w:w="4675" w:type="dxa"/>
          </w:tcPr>
          <w:p w14:paraId="5BC997A7" w14:textId="78450C73" w:rsidR="003C74B3" w:rsidRPr="00D85A38" w:rsidRDefault="003C74B3" w:rsidP="003C74B3">
            <w:pPr>
              <w:jc w:val="both"/>
              <w:rPr>
                <w:rFonts w:ascii="Arial" w:hAnsi="Arial" w:cs="Arial"/>
                <w:b/>
                <w:bCs/>
                <w:caps/>
                <w:lang w:val="nl-BE"/>
              </w:rPr>
            </w:pPr>
            <w:r w:rsidRPr="00D85A38">
              <w:rPr>
                <w:rFonts w:ascii="Arial" w:hAnsi="Arial" w:cs="Arial"/>
                <w:b/>
                <w:bCs/>
                <w:caps/>
                <w:lang w:val="nl-BE"/>
              </w:rPr>
              <w:t xml:space="preserve">Titel </w:t>
            </w:r>
            <w:r w:rsidR="007063B3" w:rsidRPr="00D85A38">
              <w:rPr>
                <w:rFonts w:ascii="Arial" w:hAnsi="Arial" w:cs="Arial"/>
                <w:b/>
                <w:bCs/>
                <w:caps/>
                <w:lang w:val="nl-BE"/>
              </w:rPr>
              <w:t>3</w:t>
            </w:r>
            <w:r w:rsidRPr="00D85A38">
              <w:rPr>
                <w:rFonts w:ascii="Arial" w:hAnsi="Arial" w:cs="Arial"/>
                <w:b/>
                <w:bCs/>
                <w:caps/>
                <w:lang w:val="nl-BE"/>
              </w:rPr>
              <w:t xml:space="preserve"> – </w:t>
            </w:r>
            <w:r w:rsidR="0065164D" w:rsidRPr="0065164D">
              <w:rPr>
                <w:rFonts w:ascii="Arial" w:hAnsi="Arial" w:cs="Arial"/>
                <w:b/>
                <w:bCs/>
                <w:caps/>
                <w:lang w:val="nl-BE"/>
              </w:rPr>
              <w:t>Wijziging van de wet van 29 januari 2014 houdende bepalingen inzake de sociale identiteitskaart en de ISI+-kaart</w:t>
            </w:r>
          </w:p>
        </w:tc>
        <w:tc>
          <w:tcPr>
            <w:tcW w:w="4675" w:type="dxa"/>
          </w:tcPr>
          <w:p w14:paraId="5FCBCCBD" w14:textId="0BFB8B66" w:rsidR="003C74B3" w:rsidRPr="00497AA0" w:rsidRDefault="003C74B3" w:rsidP="003C74B3">
            <w:pPr>
              <w:jc w:val="both"/>
              <w:rPr>
                <w:rFonts w:ascii="Arial" w:hAnsi="Arial" w:cs="Arial"/>
                <w:b/>
                <w:bCs/>
                <w:caps/>
                <w:lang w:val="fr-BE"/>
              </w:rPr>
            </w:pPr>
            <w:r>
              <w:rPr>
                <w:rFonts w:ascii="Arial" w:hAnsi="Arial" w:cs="Arial"/>
                <w:b/>
                <w:bCs/>
                <w:caps/>
                <w:lang w:val="fr-BE"/>
              </w:rPr>
              <w:t xml:space="preserve">Titre </w:t>
            </w:r>
            <w:r w:rsidR="007063B3">
              <w:rPr>
                <w:rFonts w:ascii="Arial" w:hAnsi="Arial" w:cs="Arial"/>
                <w:b/>
                <w:bCs/>
                <w:caps/>
                <w:lang w:val="fr-BE"/>
              </w:rPr>
              <w:t>3</w:t>
            </w:r>
            <w:r>
              <w:rPr>
                <w:rFonts w:ascii="Arial" w:hAnsi="Arial" w:cs="Arial"/>
                <w:b/>
                <w:bCs/>
                <w:caps/>
                <w:lang w:val="fr-BE"/>
              </w:rPr>
              <w:t xml:space="preserve"> – </w:t>
            </w:r>
            <w:r w:rsidR="0065164D" w:rsidRPr="0065164D">
              <w:rPr>
                <w:rFonts w:ascii="Arial" w:hAnsi="Arial" w:cs="Arial"/>
                <w:b/>
                <w:bCs/>
                <w:caps/>
                <w:lang w:val="fr-BE"/>
              </w:rPr>
              <w:t>MODIFICATION DE LA LOI DU 29 JANVIER 2014 PORTANT DES DISPOSITIONS RELATIVES À LA CARTE D'IDENTITÉ SOCIALE ET LA CARTE ISI+</w:t>
            </w:r>
          </w:p>
        </w:tc>
      </w:tr>
      <w:tr w:rsidR="003C74B3" w:rsidRPr="00D85A38" w14:paraId="2A4DD5F0" w14:textId="77777777" w:rsidTr="00363C5C">
        <w:trPr>
          <w:gridAfter w:val="1"/>
          <w:wAfter w:w="10" w:type="dxa"/>
          <w:trHeight w:val="68"/>
        </w:trPr>
        <w:tc>
          <w:tcPr>
            <w:tcW w:w="4675" w:type="dxa"/>
          </w:tcPr>
          <w:p w14:paraId="5B40198E" w14:textId="77777777" w:rsidR="003C74B3" w:rsidRDefault="003C74B3" w:rsidP="003C74B3">
            <w:pPr>
              <w:jc w:val="both"/>
              <w:rPr>
                <w:rFonts w:ascii="Arial" w:hAnsi="Arial" w:cs="Arial"/>
                <w:b/>
                <w:bCs/>
                <w:caps/>
                <w:lang w:val="fr-BE"/>
              </w:rPr>
            </w:pPr>
          </w:p>
        </w:tc>
        <w:tc>
          <w:tcPr>
            <w:tcW w:w="4675" w:type="dxa"/>
          </w:tcPr>
          <w:p w14:paraId="452151D9" w14:textId="77777777" w:rsidR="003C74B3" w:rsidRDefault="003C74B3" w:rsidP="003C74B3">
            <w:pPr>
              <w:jc w:val="both"/>
              <w:rPr>
                <w:rFonts w:ascii="Arial" w:hAnsi="Arial" w:cs="Arial"/>
                <w:b/>
                <w:bCs/>
                <w:caps/>
                <w:lang w:val="fr-BE"/>
              </w:rPr>
            </w:pPr>
          </w:p>
        </w:tc>
      </w:tr>
      <w:tr w:rsidR="003C74B3" w:rsidRPr="00D85A38" w14:paraId="34FB78AC" w14:textId="77777777" w:rsidTr="00363C5C">
        <w:trPr>
          <w:gridAfter w:val="1"/>
          <w:wAfter w:w="10" w:type="dxa"/>
          <w:trHeight w:val="68"/>
        </w:trPr>
        <w:tc>
          <w:tcPr>
            <w:tcW w:w="4675" w:type="dxa"/>
          </w:tcPr>
          <w:p w14:paraId="111A6374" w14:textId="60B18EE0" w:rsidR="003C74B3" w:rsidRPr="00186427" w:rsidRDefault="003C74B3" w:rsidP="003C74B3">
            <w:pPr>
              <w:jc w:val="both"/>
              <w:rPr>
                <w:b/>
                <w:bCs/>
                <w:lang w:val="nl-BE"/>
              </w:rPr>
            </w:pPr>
            <w:r w:rsidRPr="00186427">
              <w:rPr>
                <w:b/>
                <w:bCs/>
                <w:lang w:val="nl-BE"/>
              </w:rPr>
              <w:t xml:space="preserve">Art. </w:t>
            </w:r>
            <w:r w:rsidR="007063B3">
              <w:rPr>
                <w:b/>
                <w:bCs/>
                <w:lang w:val="nl-BE"/>
              </w:rPr>
              <w:t>3</w:t>
            </w:r>
            <w:r w:rsidRPr="00186427">
              <w:rPr>
                <w:b/>
                <w:bCs/>
                <w:lang w:val="nl-BE"/>
              </w:rPr>
              <w:t xml:space="preserve">. </w:t>
            </w:r>
            <w:r>
              <w:rPr>
                <w:b/>
                <w:bCs/>
                <w:lang w:val="nl-BE"/>
              </w:rPr>
              <w:t xml:space="preserve"> </w:t>
            </w:r>
            <w:r w:rsidRPr="00E43CFA">
              <w:rPr>
                <w:lang w:val="nl-BE"/>
              </w:rPr>
              <w:t>In artikel 2 van de wet van 29 januari 2014 houdende bepalingen inzake de sociale identiteitskaart en de ISI+-kaart worden de woorden “Een ISI+-kaart wordt uitgereikt aan” vervangen door de woorden “Een ISI+-kaart wordt uitgereikt, op een fysieke drager en/of in een elektronisch formaat, aan”.</w:t>
            </w:r>
          </w:p>
        </w:tc>
        <w:tc>
          <w:tcPr>
            <w:tcW w:w="4675" w:type="dxa"/>
          </w:tcPr>
          <w:p w14:paraId="3C66208C" w14:textId="29243BB7" w:rsidR="003C74B3" w:rsidRPr="008E1FD5" w:rsidRDefault="003C74B3" w:rsidP="003C74B3">
            <w:pPr>
              <w:jc w:val="both"/>
              <w:rPr>
                <w:b/>
                <w:bCs/>
                <w:lang w:val="fr-BE"/>
              </w:rPr>
            </w:pPr>
            <w:r>
              <w:rPr>
                <w:b/>
                <w:bCs/>
                <w:lang w:val="fr-BE"/>
              </w:rPr>
              <w:t xml:space="preserve">Art. </w:t>
            </w:r>
            <w:r w:rsidR="007063B3">
              <w:rPr>
                <w:b/>
                <w:bCs/>
                <w:lang w:val="fr-BE"/>
              </w:rPr>
              <w:t>3</w:t>
            </w:r>
            <w:r>
              <w:rPr>
                <w:b/>
                <w:bCs/>
                <w:lang w:val="fr-BE"/>
              </w:rPr>
              <w:t xml:space="preserve">.  </w:t>
            </w:r>
            <w:r w:rsidRPr="008E1FD5">
              <w:rPr>
                <w:lang w:val="fr-BE"/>
              </w:rPr>
              <w:t>Dans l’article 2 de la loi du 29 janvier 2014 portant des dispositions relatives à la carte d'identité sociale et la carte ISI+, les mots « Une carte ISI+ est délivrée” sont remplacés par les mots « Une carte ISI+ est délivrée sur support physique et/ou sous format électronique ».</w:t>
            </w:r>
          </w:p>
        </w:tc>
      </w:tr>
      <w:tr w:rsidR="003C74B3" w:rsidRPr="00D85A38" w14:paraId="6F00E1A2" w14:textId="77777777" w:rsidTr="00363C5C">
        <w:trPr>
          <w:gridAfter w:val="1"/>
          <w:wAfter w:w="10" w:type="dxa"/>
          <w:trHeight w:val="68"/>
        </w:trPr>
        <w:tc>
          <w:tcPr>
            <w:tcW w:w="4675" w:type="dxa"/>
          </w:tcPr>
          <w:p w14:paraId="0ED10FB0" w14:textId="77777777" w:rsidR="003C74B3" w:rsidRPr="00CE59B8" w:rsidRDefault="003C74B3" w:rsidP="003C74B3">
            <w:pPr>
              <w:jc w:val="both"/>
              <w:rPr>
                <w:b/>
                <w:bCs/>
                <w:lang w:val="fr-BE"/>
              </w:rPr>
            </w:pPr>
          </w:p>
        </w:tc>
        <w:tc>
          <w:tcPr>
            <w:tcW w:w="4675" w:type="dxa"/>
          </w:tcPr>
          <w:p w14:paraId="05537D77" w14:textId="77777777" w:rsidR="003C74B3" w:rsidRDefault="003C74B3" w:rsidP="003C74B3">
            <w:pPr>
              <w:jc w:val="both"/>
              <w:rPr>
                <w:b/>
                <w:bCs/>
                <w:lang w:val="fr-BE"/>
              </w:rPr>
            </w:pPr>
          </w:p>
        </w:tc>
      </w:tr>
      <w:tr w:rsidR="003C74B3" w:rsidRPr="00D85A38" w14:paraId="0B77BE1B" w14:textId="77777777" w:rsidTr="00363C5C">
        <w:trPr>
          <w:gridAfter w:val="1"/>
          <w:wAfter w:w="10" w:type="dxa"/>
          <w:trHeight w:val="68"/>
        </w:trPr>
        <w:tc>
          <w:tcPr>
            <w:tcW w:w="4675" w:type="dxa"/>
          </w:tcPr>
          <w:p w14:paraId="3803B3C6" w14:textId="0A3FB924" w:rsidR="003C74B3" w:rsidRPr="00186427" w:rsidRDefault="003C74B3" w:rsidP="003C74B3">
            <w:pPr>
              <w:jc w:val="both"/>
              <w:rPr>
                <w:b/>
                <w:bCs/>
                <w:lang w:val="nl-BE"/>
              </w:rPr>
            </w:pPr>
            <w:r>
              <w:rPr>
                <w:b/>
                <w:bCs/>
                <w:lang w:val="nl-BE"/>
              </w:rPr>
              <w:t xml:space="preserve">Art. </w:t>
            </w:r>
            <w:r w:rsidR="007063B3">
              <w:rPr>
                <w:b/>
                <w:bCs/>
                <w:lang w:val="nl-BE"/>
              </w:rPr>
              <w:t>4</w:t>
            </w:r>
            <w:r>
              <w:rPr>
                <w:b/>
                <w:bCs/>
                <w:lang w:val="nl-BE"/>
              </w:rPr>
              <w:t xml:space="preserve">.  </w:t>
            </w:r>
            <w:r w:rsidRPr="00AC0BB2">
              <w:rPr>
                <w:lang w:val="nl-BE"/>
              </w:rPr>
              <w:t>In artikel 3 van dezelfde wet worden de woorden “is ertoe gehouden zijn ISI+-kaart voor te leggen” vervangen door de woorden “is ertoe gehouden zijn ISI+-kaart voor te leggen, ongeacht de wijze waarop die werd uitgereikt,”.</w:t>
            </w:r>
          </w:p>
        </w:tc>
        <w:tc>
          <w:tcPr>
            <w:tcW w:w="4675" w:type="dxa"/>
          </w:tcPr>
          <w:p w14:paraId="0114867B" w14:textId="252854FE" w:rsidR="003C74B3" w:rsidRPr="006F3BDA" w:rsidRDefault="003C74B3" w:rsidP="003C74B3">
            <w:pPr>
              <w:jc w:val="both"/>
              <w:rPr>
                <w:b/>
                <w:bCs/>
                <w:lang w:val="fr-BE"/>
              </w:rPr>
            </w:pPr>
            <w:r w:rsidRPr="006F3BDA">
              <w:rPr>
                <w:b/>
                <w:bCs/>
                <w:lang w:val="fr-BE"/>
              </w:rPr>
              <w:t xml:space="preserve">Art. </w:t>
            </w:r>
            <w:r w:rsidR="007063B3">
              <w:rPr>
                <w:b/>
                <w:bCs/>
                <w:lang w:val="fr-BE"/>
              </w:rPr>
              <w:t>4</w:t>
            </w:r>
            <w:r w:rsidRPr="006F3BDA">
              <w:rPr>
                <w:b/>
                <w:bCs/>
                <w:lang w:val="fr-BE"/>
              </w:rPr>
              <w:t xml:space="preserve">.  </w:t>
            </w:r>
            <w:r w:rsidRPr="006F3BDA">
              <w:rPr>
                <w:lang w:val="fr-BE"/>
              </w:rPr>
              <w:t>Dans l’article 3 de la même loi, les mots « est tenu de présenter sa carte ISI+ » sont remplacés par les mots « est tenu de présenter sa carte ISI+, quel que soit son mode de délivrance,».</w:t>
            </w:r>
          </w:p>
        </w:tc>
      </w:tr>
      <w:tr w:rsidR="003C74B3" w:rsidRPr="00D85A38" w14:paraId="2D46CC03" w14:textId="77777777" w:rsidTr="00363C5C">
        <w:trPr>
          <w:gridAfter w:val="1"/>
          <w:wAfter w:w="10" w:type="dxa"/>
          <w:trHeight w:val="68"/>
        </w:trPr>
        <w:tc>
          <w:tcPr>
            <w:tcW w:w="4675" w:type="dxa"/>
          </w:tcPr>
          <w:p w14:paraId="6D18E8E7" w14:textId="77777777" w:rsidR="003C74B3" w:rsidRPr="00CE59B8" w:rsidRDefault="003C74B3" w:rsidP="003C74B3">
            <w:pPr>
              <w:jc w:val="both"/>
              <w:rPr>
                <w:b/>
                <w:bCs/>
                <w:lang w:val="fr-BE"/>
              </w:rPr>
            </w:pPr>
          </w:p>
        </w:tc>
        <w:tc>
          <w:tcPr>
            <w:tcW w:w="4675" w:type="dxa"/>
          </w:tcPr>
          <w:p w14:paraId="6FABCF90" w14:textId="77777777" w:rsidR="003C74B3" w:rsidRPr="006F3BDA" w:rsidRDefault="003C74B3" w:rsidP="003C74B3">
            <w:pPr>
              <w:jc w:val="both"/>
              <w:rPr>
                <w:b/>
                <w:bCs/>
                <w:lang w:val="fr-BE"/>
              </w:rPr>
            </w:pPr>
          </w:p>
        </w:tc>
      </w:tr>
      <w:tr w:rsidR="003C74B3" w:rsidRPr="00D85A38" w14:paraId="3E1AFB87" w14:textId="77777777" w:rsidTr="00363C5C">
        <w:trPr>
          <w:gridAfter w:val="1"/>
          <w:wAfter w:w="10" w:type="dxa"/>
          <w:trHeight w:val="68"/>
        </w:trPr>
        <w:tc>
          <w:tcPr>
            <w:tcW w:w="4675" w:type="dxa"/>
          </w:tcPr>
          <w:p w14:paraId="3E899972" w14:textId="2CE3BCEE" w:rsidR="003C74B3" w:rsidRDefault="003C74B3" w:rsidP="003C74B3">
            <w:pPr>
              <w:jc w:val="both"/>
              <w:rPr>
                <w:b/>
                <w:bCs/>
                <w:lang w:val="nl-BE"/>
              </w:rPr>
            </w:pPr>
            <w:r>
              <w:rPr>
                <w:b/>
                <w:bCs/>
                <w:lang w:val="nl-BE"/>
              </w:rPr>
              <w:t xml:space="preserve">Art. </w:t>
            </w:r>
            <w:r w:rsidR="007063B3">
              <w:rPr>
                <w:b/>
                <w:bCs/>
                <w:lang w:val="nl-BE"/>
              </w:rPr>
              <w:t>5</w:t>
            </w:r>
            <w:r>
              <w:rPr>
                <w:b/>
                <w:bCs/>
                <w:lang w:val="nl-BE"/>
              </w:rPr>
              <w:t xml:space="preserve">.  </w:t>
            </w:r>
            <w:r w:rsidRPr="00233AB3">
              <w:rPr>
                <w:lang w:val="nl-BE"/>
              </w:rPr>
              <w:t xml:space="preserve">In artikel 12 van dezelfde wet worden de woorden “met eerbiediging van de bepalingen van de wet van 8 december 1992 tot bescherming van de persoonlijke levenssfeer ten opzichte van de verwerking van persoonsgegevens” vervangen door de woorden “met eerbiediging van de </w:t>
            </w:r>
            <w:r w:rsidRPr="00233AB3">
              <w:rPr>
                <w:lang w:val="nl-BE"/>
              </w:rPr>
              <w:lastRenderedPageBreak/>
              <w:t>bepalingen van de Verordening (EU) 2016/679 van het Europees Parlement en de Raad van 27 april 2016 betreffende de bescherming van natuurlijke personen in verband met de verwerking van persoonsgegevens en betreffende het vrije verkeer van die gegevens en tot intrekking van Richtlijn 95/46/EG en de wet van 30 juli 2018 betreffende de bescherming van natuurlijke personen met betrekking tot de verwerking van persoonsgegevens”.</w:t>
            </w:r>
          </w:p>
        </w:tc>
        <w:tc>
          <w:tcPr>
            <w:tcW w:w="4675" w:type="dxa"/>
          </w:tcPr>
          <w:p w14:paraId="3FD088C0" w14:textId="0A6C5258" w:rsidR="003C74B3" w:rsidRPr="00C94C68" w:rsidRDefault="003C74B3" w:rsidP="003C74B3">
            <w:pPr>
              <w:jc w:val="both"/>
              <w:rPr>
                <w:b/>
                <w:bCs/>
                <w:lang w:val="fr-BE"/>
              </w:rPr>
            </w:pPr>
            <w:r w:rsidRPr="00C94C68">
              <w:rPr>
                <w:b/>
                <w:bCs/>
                <w:lang w:val="fr-BE"/>
              </w:rPr>
              <w:lastRenderedPageBreak/>
              <w:t xml:space="preserve">Art. </w:t>
            </w:r>
            <w:r w:rsidR="007063B3">
              <w:rPr>
                <w:b/>
                <w:bCs/>
                <w:lang w:val="fr-BE"/>
              </w:rPr>
              <w:t>5</w:t>
            </w:r>
            <w:r w:rsidRPr="00C94C68">
              <w:rPr>
                <w:b/>
                <w:bCs/>
                <w:lang w:val="fr-BE"/>
              </w:rPr>
              <w:t xml:space="preserve">.  </w:t>
            </w:r>
            <w:r w:rsidRPr="00C94C68">
              <w:rPr>
                <w:lang w:val="fr-BE"/>
              </w:rPr>
              <w:t xml:space="preserve">Dans l’article 12 de la même loi, les mots « en conformité avec les dispositions de la loi du 8 décembre 1992 relative à la protection de la vie privée à l'égard des traitements de données à caractère personnel » sont remplacés par les mots « en conformité avec les dispositions du </w:t>
            </w:r>
            <w:r w:rsidRPr="00C94C68">
              <w:rPr>
                <w:lang w:val="fr-BE"/>
              </w:rPr>
              <w:lastRenderedPageBreak/>
              <w:t>Règlement (UE) 2016/679 du Parlement européen et du Conseil du 27 avril 2016 relatif à la protection des personnes physiques à l'égard du traitement des données à caractère personnel et à la libre circulation de ces données, et abrogeant la directive 95/46/CE et de la loi du 30 juillet 2018 relative à la protection des personnes physiques à l’égard des traitements de données à caractère personnel ».</w:t>
            </w:r>
          </w:p>
        </w:tc>
      </w:tr>
      <w:tr w:rsidR="003C74B3" w:rsidRPr="00D85A38" w14:paraId="36A63465" w14:textId="77777777" w:rsidTr="00363C5C">
        <w:trPr>
          <w:gridAfter w:val="1"/>
          <w:wAfter w:w="10" w:type="dxa"/>
          <w:trHeight w:val="68"/>
        </w:trPr>
        <w:tc>
          <w:tcPr>
            <w:tcW w:w="4675" w:type="dxa"/>
          </w:tcPr>
          <w:p w14:paraId="045D5B07" w14:textId="77777777" w:rsidR="003C74B3" w:rsidRPr="00CE59B8" w:rsidRDefault="003C74B3" w:rsidP="003C74B3">
            <w:pPr>
              <w:jc w:val="both"/>
              <w:rPr>
                <w:b/>
                <w:bCs/>
                <w:lang w:val="fr-BE"/>
              </w:rPr>
            </w:pPr>
          </w:p>
        </w:tc>
        <w:tc>
          <w:tcPr>
            <w:tcW w:w="4675" w:type="dxa"/>
          </w:tcPr>
          <w:p w14:paraId="0C79C5CE" w14:textId="77777777" w:rsidR="003C74B3" w:rsidRPr="00C94C68" w:rsidRDefault="003C74B3" w:rsidP="003C74B3">
            <w:pPr>
              <w:jc w:val="both"/>
              <w:rPr>
                <w:b/>
                <w:bCs/>
                <w:lang w:val="fr-BE"/>
              </w:rPr>
            </w:pPr>
          </w:p>
        </w:tc>
      </w:tr>
      <w:tr w:rsidR="00363C5C" w:rsidRPr="00875021" w14:paraId="1A8A05B3" w14:textId="77777777" w:rsidTr="00363C5C">
        <w:tc>
          <w:tcPr>
            <w:tcW w:w="4675" w:type="dxa"/>
          </w:tcPr>
          <w:p w14:paraId="6408BC00" w14:textId="77777777" w:rsidR="00363C5C" w:rsidRPr="00875021" w:rsidRDefault="00363C5C" w:rsidP="0019164B">
            <w:pPr>
              <w:tabs>
                <w:tab w:val="left" w:pos="4221"/>
                <w:tab w:val="left" w:pos="4468"/>
                <w:tab w:val="left" w:pos="5643"/>
                <w:tab w:val="left" w:pos="9747"/>
              </w:tabs>
              <w:spacing w:line="264" w:lineRule="auto"/>
              <w:rPr>
                <w:rFonts w:ascii="Arial" w:hAnsi="Arial" w:cs="Arial"/>
                <w:b/>
                <w:lang w:val="nl-BE"/>
              </w:rPr>
            </w:pPr>
            <w:r w:rsidRPr="007F46D4">
              <w:rPr>
                <w:rFonts w:ascii="Arial" w:hAnsi="Arial" w:cs="Arial"/>
                <w:b/>
                <w:iCs/>
                <w:lang w:val="fr"/>
              </w:rPr>
              <w:t xml:space="preserve">TITEL </w:t>
            </w:r>
            <w:r>
              <w:rPr>
                <w:rFonts w:ascii="Arial" w:hAnsi="Arial" w:cs="Arial"/>
                <w:b/>
                <w:iCs/>
                <w:lang w:val="fr"/>
              </w:rPr>
              <w:t>4</w:t>
            </w:r>
            <w:r w:rsidRPr="007F46D4">
              <w:rPr>
                <w:rFonts w:ascii="Arial" w:hAnsi="Arial" w:cs="Arial"/>
                <w:b/>
                <w:iCs/>
                <w:lang w:val="fr"/>
              </w:rPr>
              <w:t xml:space="preserve"> – </w:t>
            </w:r>
            <w:r>
              <w:rPr>
                <w:rFonts w:ascii="Arial" w:hAnsi="Arial" w:cs="Arial"/>
                <w:b/>
                <w:iCs/>
                <w:lang w:val="fr"/>
              </w:rPr>
              <w:t>SLOT</w:t>
            </w:r>
            <w:r w:rsidRPr="007F46D4">
              <w:rPr>
                <w:rFonts w:ascii="Arial" w:hAnsi="Arial" w:cs="Arial"/>
                <w:b/>
                <w:iCs/>
                <w:lang w:val="fr"/>
              </w:rPr>
              <w:t>BEPALING</w:t>
            </w:r>
          </w:p>
        </w:tc>
        <w:tc>
          <w:tcPr>
            <w:tcW w:w="4685" w:type="dxa"/>
            <w:gridSpan w:val="2"/>
          </w:tcPr>
          <w:p w14:paraId="3E21320E" w14:textId="04DF5E8A" w:rsidR="00363C5C" w:rsidRPr="008E731A" w:rsidRDefault="00363C5C" w:rsidP="0019164B">
            <w:pPr>
              <w:tabs>
                <w:tab w:val="left" w:pos="4221"/>
                <w:tab w:val="left" w:pos="4468"/>
                <w:tab w:val="left" w:pos="5643"/>
                <w:tab w:val="left" w:pos="9747"/>
              </w:tabs>
              <w:spacing w:line="264" w:lineRule="auto"/>
              <w:rPr>
                <w:rFonts w:ascii="Arial" w:hAnsi="Arial" w:cs="Arial"/>
                <w:b/>
                <w:bCs/>
                <w:lang w:val="nl-BE"/>
              </w:rPr>
            </w:pPr>
            <w:r w:rsidRPr="003A12B8">
              <w:rPr>
                <w:rFonts w:ascii="Arial" w:hAnsi="Arial" w:cs="Arial"/>
                <w:b/>
                <w:bCs/>
                <w:lang w:val="fr"/>
              </w:rPr>
              <w:t xml:space="preserve">TITRE </w:t>
            </w:r>
            <w:r w:rsidR="00FF7895">
              <w:rPr>
                <w:rFonts w:ascii="Arial" w:hAnsi="Arial" w:cs="Arial"/>
                <w:b/>
                <w:bCs/>
                <w:lang w:val="fr"/>
              </w:rPr>
              <w:t>4</w:t>
            </w:r>
            <w:r w:rsidRPr="003A12B8">
              <w:rPr>
                <w:rFonts w:ascii="Arial" w:hAnsi="Arial" w:cs="Arial"/>
                <w:b/>
                <w:bCs/>
                <w:lang w:val="fr"/>
              </w:rPr>
              <w:t xml:space="preserve"> – DISPOSITION </w:t>
            </w:r>
            <w:r>
              <w:rPr>
                <w:rFonts w:ascii="Arial" w:hAnsi="Arial" w:cs="Arial"/>
                <w:b/>
                <w:bCs/>
                <w:lang w:val="fr"/>
              </w:rPr>
              <w:t>FINALE</w:t>
            </w:r>
          </w:p>
        </w:tc>
      </w:tr>
      <w:tr w:rsidR="00363C5C" w:rsidRPr="007063B3" w14:paraId="38E5D427" w14:textId="77777777" w:rsidTr="00363C5C">
        <w:trPr>
          <w:gridAfter w:val="1"/>
          <w:wAfter w:w="10" w:type="dxa"/>
          <w:trHeight w:val="68"/>
        </w:trPr>
        <w:tc>
          <w:tcPr>
            <w:tcW w:w="4675" w:type="dxa"/>
          </w:tcPr>
          <w:p w14:paraId="12790019" w14:textId="77777777" w:rsidR="00363C5C" w:rsidRPr="00CE59B8" w:rsidRDefault="00363C5C" w:rsidP="003C74B3">
            <w:pPr>
              <w:jc w:val="both"/>
              <w:rPr>
                <w:b/>
                <w:bCs/>
                <w:lang w:val="fr-BE"/>
              </w:rPr>
            </w:pPr>
          </w:p>
        </w:tc>
        <w:tc>
          <w:tcPr>
            <w:tcW w:w="4675" w:type="dxa"/>
          </w:tcPr>
          <w:p w14:paraId="47057EFF" w14:textId="77777777" w:rsidR="00363C5C" w:rsidRPr="00C94C68" w:rsidRDefault="00363C5C" w:rsidP="003C74B3">
            <w:pPr>
              <w:jc w:val="both"/>
              <w:rPr>
                <w:b/>
                <w:bCs/>
                <w:lang w:val="fr-BE"/>
              </w:rPr>
            </w:pPr>
          </w:p>
        </w:tc>
      </w:tr>
      <w:tr w:rsidR="003C74B3" w:rsidRPr="00D85A38" w14:paraId="187A32F9" w14:textId="77777777" w:rsidTr="00363C5C">
        <w:trPr>
          <w:gridAfter w:val="1"/>
          <w:wAfter w:w="10" w:type="dxa"/>
          <w:trHeight w:val="68"/>
        </w:trPr>
        <w:tc>
          <w:tcPr>
            <w:tcW w:w="4675" w:type="dxa"/>
          </w:tcPr>
          <w:p w14:paraId="49364320" w14:textId="48CD3934" w:rsidR="003C74B3" w:rsidRDefault="003C74B3">
            <w:pPr>
              <w:jc w:val="both"/>
              <w:rPr>
                <w:b/>
                <w:bCs/>
                <w:lang w:val="nl-BE"/>
              </w:rPr>
            </w:pPr>
            <w:r>
              <w:rPr>
                <w:b/>
                <w:bCs/>
                <w:lang w:val="nl-BE"/>
              </w:rPr>
              <w:t xml:space="preserve">Art. </w:t>
            </w:r>
            <w:r w:rsidR="00662214">
              <w:rPr>
                <w:b/>
                <w:bCs/>
                <w:lang w:val="nl-BE"/>
              </w:rPr>
              <w:t>6</w:t>
            </w:r>
            <w:r>
              <w:rPr>
                <w:b/>
                <w:bCs/>
                <w:lang w:val="nl-BE"/>
              </w:rPr>
              <w:t xml:space="preserve">.  </w:t>
            </w:r>
            <w:r w:rsidRPr="000A46B5">
              <w:rPr>
                <w:lang w:val="nl-BE"/>
              </w:rPr>
              <w:t xml:space="preserve">Deze </w:t>
            </w:r>
            <w:r w:rsidR="00FF7895">
              <w:rPr>
                <w:lang w:val="nl-BE"/>
              </w:rPr>
              <w:t>wet</w:t>
            </w:r>
            <w:r w:rsidR="00FF7895" w:rsidRPr="000A46B5">
              <w:rPr>
                <w:lang w:val="nl-BE"/>
              </w:rPr>
              <w:t xml:space="preserve"> </w:t>
            </w:r>
            <w:r w:rsidRPr="000A46B5">
              <w:rPr>
                <w:lang w:val="nl-BE"/>
              </w:rPr>
              <w:t xml:space="preserve">treedt in werking de dag waarop </w:t>
            </w:r>
            <w:r w:rsidR="00FF7895">
              <w:rPr>
                <w:lang w:val="nl-BE"/>
              </w:rPr>
              <w:t>ze</w:t>
            </w:r>
            <w:r w:rsidRPr="000A46B5">
              <w:rPr>
                <w:lang w:val="nl-BE"/>
              </w:rPr>
              <w:t xml:space="preserve"> in het Belgisch Staatsblad wordt bekendgemaakt.</w:t>
            </w:r>
          </w:p>
        </w:tc>
        <w:tc>
          <w:tcPr>
            <w:tcW w:w="4675" w:type="dxa"/>
          </w:tcPr>
          <w:p w14:paraId="41BA05B8" w14:textId="2E5D0B6D" w:rsidR="003C74B3" w:rsidRPr="00F5682F" w:rsidRDefault="003C74B3">
            <w:pPr>
              <w:jc w:val="both"/>
              <w:rPr>
                <w:b/>
                <w:bCs/>
                <w:lang w:val="fr-BE"/>
              </w:rPr>
            </w:pPr>
            <w:r>
              <w:rPr>
                <w:b/>
                <w:bCs/>
                <w:lang w:val="fr-BE"/>
              </w:rPr>
              <w:t xml:space="preserve">Art. </w:t>
            </w:r>
            <w:r w:rsidR="00662214">
              <w:rPr>
                <w:b/>
                <w:bCs/>
                <w:lang w:val="fr-BE"/>
              </w:rPr>
              <w:t>6</w:t>
            </w:r>
            <w:r>
              <w:rPr>
                <w:b/>
                <w:bCs/>
                <w:lang w:val="fr-BE"/>
              </w:rPr>
              <w:t xml:space="preserve">.  </w:t>
            </w:r>
            <w:r w:rsidR="00FF7895" w:rsidRPr="00F5682F">
              <w:rPr>
                <w:lang w:val="fr-BE"/>
              </w:rPr>
              <w:t>L</w:t>
            </w:r>
            <w:r w:rsidR="00FF7895">
              <w:rPr>
                <w:lang w:val="fr-BE"/>
              </w:rPr>
              <w:t>a</w:t>
            </w:r>
            <w:r w:rsidR="00FF7895" w:rsidRPr="00F5682F">
              <w:rPr>
                <w:lang w:val="fr-BE"/>
              </w:rPr>
              <w:t xml:space="preserve"> </w:t>
            </w:r>
            <w:r w:rsidRPr="00F5682F">
              <w:rPr>
                <w:lang w:val="fr-BE"/>
              </w:rPr>
              <w:t>présent</w:t>
            </w:r>
            <w:r w:rsidR="00FF7895">
              <w:rPr>
                <w:lang w:val="fr-BE"/>
              </w:rPr>
              <w:t>e loi</w:t>
            </w:r>
            <w:r w:rsidRPr="00F5682F">
              <w:rPr>
                <w:lang w:val="fr-BE"/>
              </w:rPr>
              <w:t xml:space="preserve"> entre en vigueur le jour de </w:t>
            </w:r>
            <w:r w:rsidR="00FF7895">
              <w:rPr>
                <w:lang w:val="fr-BE"/>
              </w:rPr>
              <w:t>s</w:t>
            </w:r>
            <w:r w:rsidRPr="00F5682F">
              <w:rPr>
                <w:lang w:val="fr-BE"/>
              </w:rPr>
              <w:t>a publication au Moniteur belge.</w:t>
            </w:r>
          </w:p>
        </w:tc>
      </w:tr>
      <w:tr w:rsidR="003C74B3" w:rsidRPr="00D85A38" w14:paraId="2F6C7F83" w14:textId="77777777" w:rsidTr="00363C5C">
        <w:trPr>
          <w:gridAfter w:val="1"/>
          <w:wAfter w:w="10" w:type="dxa"/>
          <w:trHeight w:val="68"/>
        </w:trPr>
        <w:tc>
          <w:tcPr>
            <w:tcW w:w="4675" w:type="dxa"/>
          </w:tcPr>
          <w:p w14:paraId="6FF1CBC7" w14:textId="77777777" w:rsidR="003C74B3" w:rsidRPr="00F5682F" w:rsidRDefault="003C74B3" w:rsidP="003C74B3">
            <w:pPr>
              <w:jc w:val="both"/>
              <w:rPr>
                <w:lang w:val="fr-BE"/>
              </w:rPr>
            </w:pPr>
          </w:p>
        </w:tc>
        <w:tc>
          <w:tcPr>
            <w:tcW w:w="4675" w:type="dxa"/>
          </w:tcPr>
          <w:p w14:paraId="2A238330" w14:textId="77777777" w:rsidR="003C74B3" w:rsidRPr="00F5682F" w:rsidRDefault="003C74B3" w:rsidP="003C74B3">
            <w:pPr>
              <w:jc w:val="both"/>
              <w:rPr>
                <w:lang w:val="fr-BE"/>
              </w:rPr>
            </w:pPr>
          </w:p>
        </w:tc>
      </w:tr>
      <w:tr w:rsidR="003C74B3" w:rsidRPr="0041655E" w14:paraId="60300A3A" w14:textId="77777777" w:rsidTr="00363C5C">
        <w:trPr>
          <w:gridAfter w:val="1"/>
          <w:wAfter w:w="10" w:type="dxa"/>
          <w:trHeight w:val="68"/>
        </w:trPr>
        <w:tc>
          <w:tcPr>
            <w:tcW w:w="4675" w:type="dxa"/>
          </w:tcPr>
          <w:p w14:paraId="698D05D6" w14:textId="0E81CE30" w:rsidR="003C74B3" w:rsidRPr="00F130C9" w:rsidRDefault="003C74B3" w:rsidP="003C74B3">
            <w:pPr>
              <w:rPr>
                <w:bCs/>
                <w:lang w:val="fr-BE"/>
              </w:rPr>
            </w:pPr>
            <w:proofErr w:type="spellStart"/>
            <w:r>
              <w:rPr>
                <w:bCs/>
                <w:lang w:val="fr-BE"/>
              </w:rPr>
              <w:t>Gedaan</w:t>
            </w:r>
            <w:proofErr w:type="spellEnd"/>
            <w:r>
              <w:rPr>
                <w:bCs/>
                <w:lang w:val="fr-BE"/>
              </w:rPr>
              <w:t xml:space="preserve"> te </w:t>
            </w:r>
          </w:p>
        </w:tc>
        <w:tc>
          <w:tcPr>
            <w:tcW w:w="4675" w:type="dxa"/>
          </w:tcPr>
          <w:p w14:paraId="6225D382" w14:textId="24CFD19E" w:rsidR="003C74B3" w:rsidRPr="00F130C9" w:rsidRDefault="003C74B3" w:rsidP="003C74B3">
            <w:pPr>
              <w:rPr>
                <w:bCs/>
                <w:lang w:val="fr-BE"/>
              </w:rPr>
            </w:pPr>
            <w:r>
              <w:rPr>
                <w:bCs/>
                <w:lang w:val="fr-BE"/>
              </w:rPr>
              <w:t xml:space="preserve">Donné à </w:t>
            </w:r>
          </w:p>
        </w:tc>
      </w:tr>
      <w:tr w:rsidR="003C74B3" w:rsidRPr="0041655E" w14:paraId="5FDAC58B" w14:textId="77777777" w:rsidTr="00363C5C">
        <w:trPr>
          <w:gridAfter w:val="1"/>
          <w:wAfter w:w="10" w:type="dxa"/>
          <w:trHeight w:val="68"/>
        </w:trPr>
        <w:tc>
          <w:tcPr>
            <w:tcW w:w="4675" w:type="dxa"/>
          </w:tcPr>
          <w:p w14:paraId="107DB4F5" w14:textId="77777777" w:rsidR="003C74B3" w:rsidRPr="00304E2E" w:rsidRDefault="003C74B3" w:rsidP="003C74B3">
            <w:pPr>
              <w:jc w:val="both"/>
              <w:rPr>
                <w:b/>
                <w:lang w:val="fr-BE"/>
              </w:rPr>
            </w:pPr>
          </w:p>
        </w:tc>
        <w:tc>
          <w:tcPr>
            <w:tcW w:w="4675" w:type="dxa"/>
          </w:tcPr>
          <w:p w14:paraId="4193D838" w14:textId="77777777" w:rsidR="003C74B3" w:rsidRPr="00304E2E" w:rsidRDefault="003C74B3" w:rsidP="003C74B3">
            <w:pPr>
              <w:jc w:val="both"/>
              <w:rPr>
                <w:b/>
                <w:lang w:val="fr-BE"/>
              </w:rPr>
            </w:pPr>
          </w:p>
        </w:tc>
      </w:tr>
      <w:tr w:rsidR="00662214" w:rsidRPr="0041655E" w14:paraId="269741C9" w14:textId="77777777" w:rsidTr="0041257E">
        <w:trPr>
          <w:gridAfter w:val="1"/>
          <w:wAfter w:w="10" w:type="dxa"/>
          <w:trHeight w:val="68"/>
        </w:trPr>
        <w:tc>
          <w:tcPr>
            <w:tcW w:w="9350" w:type="dxa"/>
            <w:gridSpan w:val="2"/>
          </w:tcPr>
          <w:p w14:paraId="01DAFDE4" w14:textId="77777777" w:rsidR="00662214" w:rsidRDefault="00662214" w:rsidP="003C74B3">
            <w:pPr>
              <w:jc w:val="both"/>
              <w:rPr>
                <w:b/>
                <w:lang w:val="fr-BE"/>
              </w:rPr>
            </w:pPr>
          </w:p>
          <w:p w14:paraId="53CCF885" w14:textId="77777777" w:rsidR="00662214" w:rsidRDefault="00662214" w:rsidP="003C74B3">
            <w:pPr>
              <w:jc w:val="both"/>
              <w:rPr>
                <w:b/>
                <w:lang w:val="fr-BE"/>
              </w:rPr>
            </w:pPr>
          </w:p>
          <w:p w14:paraId="7B8CA65F" w14:textId="77777777" w:rsidR="00662214" w:rsidRDefault="00662214" w:rsidP="003C74B3">
            <w:pPr>
              <w:jc w:val="both"/>
              <w:rPr>
                <w:b/>
                <w:lang w:val="fr-BE"/>
              </w:rPr>
            </w:pPr>
          </w:p>
          <w:p w14:paraId="2FF46B9C" w14:textId="77777777" w:rsidR="00662214" w:rsidRDefault="00662214" w:rsidP="003C74B3">
            <w:pPr>
              <w:jc w:val="both"/>
              <w:rPr>
                <w:b/>
                <w:lang w:val="fr-BE"/>
              </w:rPr>
            </w:pPr>
          </w:p>
          <w:p w14:paraId="1F9851D6" w14:textId="77777777" w:rsidR="00662214" w:rsidRDefault="00662214" w:rsidP="003C74B3">
            <w:pPr>
              <w:jc w:val="both"/>
              <w:rPr>
                <w:b/>
                <w:lang w:val="fr-BE"/>
              </w:rPr>
            </w:pPr>
          </w:p>
          <w:p w14:paraId="521DB2F4" w14:textId="77777777" w:rsidR="00662214" w:rsidRDefault="00662214" w:rsidP="003C74B3">
            <w:pPr>
              <w:jc w:val="both"/>
              <w:rPr>
                <w:b/>
                <w:lang w:val="fr-BE"/>
              </w:rPr>
            </w:pPr>
          </w:p>
          <w:p w14:paraId="06559B2D" w14:textId="77777777" w:rsidR="00662214" w:rsidRDefault="00662214" w:rsidP="003C74B3">
            <w:pPr>
              <w:jc w:val="both"/>
              <w:rPr>
                <w:b/>
                <w:lang w:val="fr-BE"/>
              </w:rPr>
            </w:pPr>
          </w:p>
          <w:p w14:paraId="27BBF867" w14:textId="77777777" w:rsidR="00662214" w:rsidRDefault="00662214" w:rsidP="003C74B3">
            <w:pPr>
              <w:jc w:val="both"/>
              <w:rPr>
                <w:b/>
                <w:lang w:val="fr-BE"/>
              </w:rPr>
            </w:pPr>
          </w:p>
          <w:p w14:paraId="127827B0" w14:textId="7341F917" w:rsidR="00662214" w:rsidRPr="00304E2E" w:rsidRDefault="00662214" w:rsidP="003C74B3">
            <w:pPr>
              <w:jc w:val="both"/>
              <w:rPr>
                <w:b/>
                <w:lang w:val="fr-BE"/>
              </w:rPr>
            </w:pPr>
          </w:p>
        </w:tc>
      </w:tr>
      <w:tr w:rsidR="003C74B3" w:rsidRPr="0041655E" w14:paraId="01C43220" w14:textId="77777777" w:rsidTr="00363C5C">
        <w:trPr>
          <w:gridAfter w:val="1"/>
          <w:wAfter w:w="10" w:type="dxa"/>
          <w:trHeight w:val="68"/>
        </w:trPr>
        <w:tc>
          <w:tcPr>
            <w:tcW w:w="4675" w:type="dxa"/>
          </w:tcPr>
          <w:p w14:paraId="04ABB4F3" w14:textId="77777777" w:rsidR="003C74B3" w:rsidRPr="00304E2E" w:rsidRDefault="003C74B3" w:rsidP="003C74B3">
            <w:pPr>
              <w:jc w:val="both"/>
              <w:rPr>
                <w:b/>
                <w:lang w:val="fr-BE"/>
              </w:rPr>
            </w:pPr>
          </w:p>
        </w:tc>
        <w:tc>
          <w:tcPr>
            <w:tcW w:w="4675" w:type="dxa"/>
          </w:tcPr>
          <w:p w14:paraId="4A4986C6" w14:textId="77777777" w:rsidR="003C74B3" w:rsidRPr="00304E2E" w:rsidRDefault="003C74B3" w:rsidP="003C74B3">
            <w:pPr>
              <w:jc w:val="both"/>
              <w:rPr>
                <w:b/>
                <w:lang w:val="fr-BE"/>
              </w:rPr>
            </w:pPr>
          </w:p>
        </w:tc>
      </w:tr>
      <w:tr w:rsidR="003C74B3" w:rsidRPr="00D85A38" w14:paraId="32B161BC" w14:textId="77777777" w:rsidTr="00363C5C">
        <w:trPr>
          <w:gridAfter w:val="1"/>
          <w:wAfter w:w="10" w:type="dxa"/>
          <w:trHeight w:val="68"/>
        </w:trPr>
        <w:tc>
          <w:tcPr>
            <w:tcW w:w="4675" w:type="dxa"/>
          </w:tcPr>
          <w:p w14:paraId="25BF3A9A" w14:textId="77777777" w:rsidR="003C74B3" w:rsidRPr="00F130C9" w:rsidRDefault="003C74B3" w:rsidP="003C74B3">
            <w:pPr>
              <w:jc w:val="center"/>
              <w:rPr>
                <w:bCs/>
                <w:lang w:val="nl-BE"/>
              </w:rPr>
            </w:pPr>
            <w:r w:rsidRPr="00144DF0">
              <w:rPr>
                <w:bCs/>
                <w:lang w:val="nl-BE"/>
              </w:rPr>
              <w:t>VAN KONINGSWEGE:</w:t>
            </w:r>
          </w:p>
          <w:p w14:paraId="223790CA" w14:textId="3437F359" w:rsidR="003C74B3" w:rsidRPr="00F130C9" w:rsidRDefault="003C74B3" w:rsidP="003C74B3">
            <w:pPr>
              <w:jc w:val="center"/>
              <w:rPr>
                <w:b/>
                <w:lang w:val="nl-BE"/>
              </w:rPr>
            </w:pPr>
            <w:r w:rsidRPr="00144DF0">
              <w:rPr>
                <w:bCs/>
                <w:lang w:val="nl-BE"/>
              </w:rPr>
              <w:t>De Minister van Sociale Zaken en Volksgezondheid,</w:t>
            </w:r>
          </w:p>
        </w:tc>
        <w:tc>
          <w:tcPr>
            <w:tcW w:w="4675" w:type="dxa"/>
          </w:tcPr>
          <w:p w14:paraId="7D99B09A" w14:textId="77777777" w:rsidR="003C74B3" w:rsidRPr="00F130C9" w:rsidRDefault="003C74B3" w:rsidP="003C74B3">
            <w:pPr>
              <w:jc w:val="center"/>
              <w:rPr>
                <w:bCs/>
                <w:lang w:val="fr-BE"/>
              </w:rPr>
            </w:pPr>
            <w:r w:rsidRPr="00F130C9">
              <w:rPr>
                <w:bCs/>
                <w:lang w:val="fr-BE"/>
              </w:rPr>
              <w:t>PAR LE ROI :</w:t>
            </w:r>
          </w:p>
          <w:p w14:paraId="48BA6B40" w14:textId="53A96D7E" w:rsidR="003C74B3" w:rsidRPr="008E3764" w:rsidRDefault="003C74B3" w:rsidP="003C74B3">
            <w:pPr>
              <w:jc w:val="center"/>
              <w:rPr>
                <w:b/>
                <w:lang w:val="fr-BE"/>
              </w:rPr>
            </w:pPr>
            <w:r w:rsidRPr="00F130C9">
              <w:rPr>
                <w:bCs/>
                <w:lang w:val="fr-BE"/>
              </w:rPr>
              <w:t>L</w:t>
            </w:r>
            <w:r w:rsidRPr="008E3764">
              <w:rPr>
                <w:bCs/>
                <w:lang w:val="fr-BE"/>
              </w:rPr>
              <w:t>e</w:t>
            </w:r>
            <w:r w:rsidRPr="00F130C9">
              <w:rPr>
                <w:bCs/>
                <w:lang w:val="fr-BE"/>
              </w:rPr>
              <w:t xml:space="preserve"> Ministre des Affaires sociales et de la Santé publique,</w:t>
            </w:r>
          </w:p>
        </w:tc>
      </w:tr>
      <w:tr w:rsidR="00662214" w:rsidRPr="00D85A38" w14:paraId="3D445B58" w14:textId="77777777" w:rsidTr="00363C5C">
        <w:trPr>
          <w:gridAfter w:val="1"/>
          <w:wAfter w:w="10" w:type="dxa"/>
          <w:trHeight w:val="68"/>
        </w:trPr>
        <w:tc>
          <w:tcPr>
            <w:tcW w:w="4675" w:type="dxa"/>
          </w:tcPr>
          <w:p w14:paraId="0D25C8C8" w14:textId="77777777" w:rsidR="00662214" w:rsidRPr="00B03E3E" w:rsidRDefault="00662214" w:rsidP="003C74B3">
            <w:pPr>
              <w:jc w:val="center"/>
              <w:rPr>
                <w:bCs/>
                <w:lang w:val="fr-BE"/>
              </w:rPr>
            </w:pPr>
          </w:p>
        </w:tc>
        <w:tc>
          <w:tcPr>
            <w:tcW w:w="4675" w:type="dxa"/>
          </w:tcPr>
          <w:p w14:paraId="7D944C69" w14:textId="77777777" w:rsidR="00662214" w:rsidRPr="00F130C9" w:rsidRDefault="00662214" w:rsidP="003C74B3">
            <w:pPr>
              <w:jc w:val="center"/>
              <w:rPr>
                <w:bCs/>
                <w:lang w:val="fr-BE"/>
              </w:rPr>
            </w:pPr>
          </w:p>
        </w:tc>
      </w:tr>
      <w:tr w:rsidR="00662214" w:rsidRPr="007063B3" w14:paraId="1E88DADF" w14:textId="77777777" w:rsidTr="00715244">
        <w:trPr>
          <w:gridAfter w:val="1"/>
          <w:wAfter w:w="10" w:type="dxa"/>
          <w:trHeight w:val="68"/>
        </w:trPr>
        <w:tc>
          <w:tcPr>
            <w:tcW w:w="9350" w:type="dxa"/>
            <w:gridSpan w:val="2"/>
          </w:tcPr>
          <w:p w14:paraId="0DC6467B" w14:textId="77777777" w:rsidR="00662214" w:rsidRDefault="00662214" w:rsidP="00662214">
            <w:pPr>
              <w:jc w:val="center"/>
              <w:rPr>
                <w:bCs/>
                <w:lang w:val="fr-BE"/>
              </w:rPr>
            </w:pPr>
          </w:p>
          <w:p w14:paraId="0030ED6D" w14:textId="77777777" w:rsidR="00662214" w:rsidRDefault="00662214" w:rsidP="00662214">
            <w:pPr>
              <w:jc w:val="center"/>
              <w:rPr>
                <w:bCs/>
                <w:lang w:val="fr-BE"/>
              </w:rPr>
            </w:pPr>
          </w:p>
          <w:p w14:paraId="5A8079A8" w14:textId="77777777" w:rsidR="00662214" w:rsidRDefault="00662214" w:rsidP="00662214">
            <w:pPr>
              <w:jc w:val="center"/>
              <w:rPr>
                <w:bCs/>
                <w:lang w:val="fr-BE"/>
              </w:rPr>
            </w:pPr>
          </w:p>
          <w:p w14:paraId="4B5E73F6" w14:textId="77777777" w:rsidR="00662214" w:rsidRDefault="00662214" w:rsidP="00662214">
            <w:pPr>
              <w:jc w:val="center"/>
              <w:rPr>
                <w:bCs/>
                <w:lang w:val="fr-BE"/>
              </w:rPr>
            </w:pPr>
          </w:p>
          <w:p w14:paraId="119451FB" w14:textId="77777777" w:rsidR="00662214" w:rsidRDefault="00662214" w:rsidP="00662214">
            <w:pPr>
              <w:jc w:val="center"/>
              <w:rPr>
                <w:bCs/>
                <w:lang w:val="fr-BE"/>
              </w:rPr>
            </w:pPr>
          </w:p>
          <w:p w14:paraId="337937F2" w14:textId="77777777" w:rsidR="00662214" w:rsidRDefault="00662214" w:rsidP="00662214">
            <w:pPr>
              <w:jc w:val="center"/>
              <w:rPr>
                <w:bCs/>
                <w:lang w:val="fr-BE"/>
              </w:rPr>
            </w:pPr>
          </w:p>
          <w:p w14:paraId="48544EA4" w14:textId="77777777" w:rsidR="00662214" w:rsidRDefault="00662214" w:rsidP="00643A68">
            <w:pPr>
              <w:rPr>
                <w:bCs/>
                <w:lang w:val="fr-BE"/>
              </w:rPr>
            </w:pPr>
          </w:p>
          <w:p w14:paraId="3F2F171B" w14:textId="77777777" w:rsidR="00662214" w:rsidRDefault="00662214" w:rsidP="00662214">
            <w:pPr>
              <w:jc w:val="center"/>
              <w:rPr>
                <w:bCs/>
                <w:lang w:val="fr-BE"/>
              </w:rPr>
            </w:pPr>
          </w:p>
          <w:p w14:paraId="78F92BF8" w14:textId="77777777" w:rsidR="00662214" w:rsidRDefault="00662214" w:rsidP="00662214">
            <w:pPr>
              <w:jc w:val="center"/>
              <w:rPr>
                <w:bCs/>
                <w:lang w:val="fr-BE"/>
              </w:rPr>
            </w:pPr>
          </w:p>
          <w:p w14:paraId="71853615" w14:textId="77777777" w:rsidR="00662214" w:rsidRDefault="00662214" w:rsidP="00662214">
            <w:pPr>
              <w:jc w:val="center"/>
              <w:rPr>
                <w:bCs/>
                <w:lang w:val="fr-BE"/>
              </w:rPr>
            </w:pPr>
          </w:p>
          <w:p w14:paraId="071DD534" w14:textId="0A18B931" w:rsidR="00662214" w:rsidRPr="00662214" w:rsidRDefault="00662214" w:rsidP="00662214">
            <w:pPr>
              <w:jc w:val="center"/>
              <w:rPr>
                <w:bCs/>
                <w:lang w:val="fr-BE"/>
              </w:rPr>
            </w:pPr>
            <w:r w:rsidRPr="00662214">
              <w:rPr>
                <w:bCs/>
                <w:lang w:val="fr-BE"/>
              </w:rPr>
              <w:t>FRANK VANDENBROUCKE</w:t>
            </w:r>
          </w:p>
        </w:tc>
      </w:tr>
      <w:tr w:rsidR="003C74B3" w:rsidRPr="007063B3" w14:paraId="34005ACA" w14:textId="77777777" w:rsidTr="00363C5C">
        <w:trPr>
          <w:gridAfter w:val="1"/>
          <w:wAfter w:w="10" w:type="dxa"/>
          <w:trHeight w:val="68"/>
        </w:trPr>
        <w:tc>
          <w:tcPr>
            <w:tcW w:w="4675" w:type="dxa"/>
          </w:tcPr>
          <w:p w14:paraId="11A0AA73" w14:textId="77777777" w:rsidR="003C74B3" w:rsidRPr="00483349" w:rsidRDefault="003C74B3" w:rsidP="003C74B3">
            <w:pPr>
              <w:jc w:val="both"/>
              <w:rPr>
                <w:b/>
                <w:lang w:val="fr-BE"/>
              </w:rPr>
            </w:pPr>
          </w:p>
        </w:tc>
        <w:tc>
          <w:tcPr>
            <w:tcW w:w="4675" w:type="dxa"/>
          </w:tcPr>
          <w:p w14:paraId="5BB7C4A8" w14:textId="77777777" w:rsidR="003C74B3" w:rsidRPr="00483349" w:rsidRDefault="003C74B3" w:rsidP="003C74B3">
            <w:pPr>
              <w:jc w:val="both"/>
              <w:rPr>
                <w:b/>
                <w:lang w:val="fr-BE"/>
              </w:rPr>
            </w:pPr>
          </w:p>
        </w:tc>
      </w:tr>
    </w:tbl>
    <w:p w14:paraId="5287CDE1" w14:textId="121B017B" w:rsidR="0030514B" w:rsidRPr="00483349" w:rsidRDefault="0030514B" w:rsidP="00662214">
      <w:pPr>
        <w:jc w:val="center"/>
        <w:rPr>
          <w:lang w:val="fr-BE"/>
        </w:rPr>
      </w:pPr>
    </w:p>
    <w:sectPr w:rsidR="0030514B" w:rsidRPr="00483349" w:rsidSect="00D87A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29DF"/>
    <w:multiLevelType w:val="hybridMultilevel"/>
    <w:tmpl w:val="53D0BF12"/>
    <w:lvl w:ilvl="0" w:tplc="D5F25BE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205B753D"/>
    <w:multiLevelType w:val="hybridMultilevel"/>
    <w:tmpl w:val="2D9896A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B8E2033"/>
    <w:multiLevelType w:val="hybridMultilevel"/>
    <w:tmpl w:val="B898499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5582946"/>
    <w:multiLevelType w:val="hybridMultilevel"/>
    <w:tmpl w:val="B2F02FD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72B4B1E"/>
    <w:multiLevelType w:val="hybridMultilevel"/>
    <w:tmpl w:val="F5BCD34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1CF004C"/>
    <w:multiLevelType w:val="hybridMultilevel"/>
    <w:tmpl w:val="2676F7FA"/>
    <w:lvl w:ilvl="0" w:tplc="2FF413A6">
      <w:start w:val="1"/>
      <w:numFmt w:val="lowerLetter"/>
      <w:lvlText w:val="%1)"/>
      <w:lvlJc w:val="left"/>
      <w:pPr>
        <w:ind w:left="720" w:hanging="360"/>
      </w:pPr>
      <w:rPr>
        <w:rFonts w:cstheme="minorHAnsi"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41D4131"/>
    <w:multiLevelType w:val="hybridMultilevel"/>
    <w:tmpl w:val="C59A3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16"/>
    <w:rsid w:val="00002F86"/>
    <w:rsid w:val="000070F9"/>
    <w:rsid w:val="00012EAB"/>
    <w:rsid w:val="00014F4C"/>
    <w:rsid w:val="00016FC7"/>
    <w:rsid w:val="000214C6"/>
    <w:rsid w:val="00031E50"/>
    <w:rsid w:val="00034ED2"/>
    <w:rsid w:val="00035063"/>
    <w:rsid w:val="000367F4"/>
    <w:rsid w:val="00037C01"/>
    <w:rsid w:val="00040B36"/>
    <w:rsid w:val="00042DA5"/>
    <w:rsid w:val="00043E7E"/>
    <w:rsid w:val="000507BC"/>
    <w:rsid w:val="0005234C"/>
    <w:rsid w:val="000553A6"/>
    <w:rsid w:val="00060F29"/>
    <w:rsid w:val="000638F5"/>
    <w:rsid w:val="000649C8"/>
    <w:rsid w:val="0007152E"/>
    <w:rsid w:val="00071FA3"/>
    <w:rsid w:val="00073B99"/>
    <w:rsid w:val="00076899"/>
    <w:rsid w:val="00081F72"/>
    <w:rsid w:val="000825E6"/>
    <w:rsid w:val="0008427B"/>
    <w:rsid w:val="00085ED7"/>
    <w:rsid w:val="00092839"/>
    <w:rsid w:val="00092C9B"/>
    <w:rsid w:val="00095C71"/>
    <w:rsid w:val="00097902"/>
    <w:rsid w:val="0009796D"/>
    <w:rsid w:val="00097D33"/>
    <w:rsid w:val="000A0205"/>
    <w:rsid w:val="000A46B5"/>
    <w:rsid w:val="000B0005"/>
    <w:rsid w:val="000B1412"/>
    <w:rsid w:val="000B2B2B"/>
    <w:rsid w:val="000C0DEE"/>
    <w:rsid w:val="000C65CC"/>
    <w:rsid w:val="000C6F39"/>
    <w:rsid w:val="000C7132"/>
    <w:rsid w:val="000C71AE"/>
    <w:rsid w:val="000C7C4E"/>
    <w:rsid w:val="000D016C"/>
    <w:rsid w:val="000D0953"/>
    <w:rsid w:val="000D0BCA"/>
    <w:rsid w:val="000D256A"/>
    <w:rsid w:val="000E165F"/>
    <w:rsid w:val="000E1ABF"/>
    <w:rsid w:val="000E4942"/>
    <w:rsid w:val="000E553A"/>
    <w:rsid w:val="000E5E1A"/>
    <w:rsid w:val="000F049B"/>
    <w:rsid w:val="000F1E4C"/>
    <w:rsid w:val="0010026B"/>
    <w:rsid w:val="00103C3C"/>
    <w:rsid w:val="00107493"/>
    <w:rsid w:val="001109CA"/>
    <w:rsid w:val="00111986"/>
    <w:rsid w:val="00127E78"/>
    <w:rsid w:val="00131547"/>
    <w:rsid w:val="001332C0"/>
    <w:rsid w:val="00137389"/>
    <w:rsid w:val="00141F35"/>
    <w:rsid w:val="001421B3"/>
    <w:rsid w:val="00144DF0"/>
    <w:rsid w:val="001536E8"/>
    <w:rsid w:val="00157025"/>
    <w:rsid w:val="00160549"/>
    <w:rsid w:val="00162D6B"/>
    <w:rsid w:val="00165967"/>
    <w:rsid w:val="001676DC"/>
    <w:rsid w:val="001716AE"/>
    <w:rsid w:val="00175FBF"/>
    <w:rsid w:val="001803B9"/>
    <w:rsid w:val="0018397E"/>
    <w:rsid w:val="00183CF2"/>
    <w:rsid w:val="00186427"/>
    <w:rsid w:val="001937F7"/>
    <w:rsid w:val="001A77F1"/>
    <w:rsid w:val="001A7D6F"/>
    <w:rsid w:val="001B202A"/>
    <w:rsid w:val="001B76FF"/>
    <w:rsid w:val="001C06BC"/>
    <w:rsid w:val="001C1606"/>
    <w:rsid w:val="001C3664"/>
    <w:rsid w:val="001C6F31"/>
    <w:rsid w:val="001D03C0"/>
    <w:rsid w:val="001D40CF"/>
    <w:rsid w:val="001D4228"/>
    <w:rsid w:val="001D4980"/>
    <w:rsid w:val="001D7123"/>
    <w:rsid w:val="001D74C6"/>
    <w:rsid w:val="001E1B08"/>
    <w:rsid w:val="001E26F0"/>
    <w:rsid w:val="00203450"/>
    <w:rsid w:val="00203E79"/>
    <w:rsid w:val="0020704F"/>
    <w:rsid w:val="002072BA"/>
    <w:rsid w:val="00215862"/>
    <w:rsid w:val="00217DFA"/>
    <w:rsid w:val="0022010E"/>
    <w:rsid w:val="00222B08"/>
    <w:rsid w:val="00224E98"/>
    <w:rsid w:val="00226AB4"/>
    <w:rsid w:val="002278EB"/>
    <w:rsid w:val="00227A4E"/>
    <w:rsid w:val="0023169A"/>
    <w:rsid w:val="00233AB3"/>
    <w:rsid w:val="00235143"/>
    <w:rsid w:val="00235934"/>
    <w:rsid w:val="00235E6C"/>
    <w:rsid w:val="00237DE9"/>
    <w:rsid w:val="00246404"/>
    <w:rsid w:val="00246F19"/>
    <w:rsid w:val="00254F3E"/>
    <w:rsid w:val="00263EF3"/>
    <w:rsid w:val="00265A93"/>
    <w:rsid w:val="00272268"/>
    <w:rsid w:val="00272421"/>
    <w:rsid w:val="00272818"/>
    <w:rsid w:val="002752F4"/>
    <w:rsid w:val="0028071A"/>
    <w:rsid w:val="00281DE0"/>
    <w:rsid w:val="002844F9"/>
    <w:rsid w:val="00285243"/>
    <w:rsid w:val="00286367"/>
    <w:rsid w:val="00292262"/>
    <w:rsid w:val="002938A1"/>
    <w:rsid w:val="00294DA4"/>
    <w:rsid w:val="002969D6"/>
    <w:rsid w:val="002A434E"/>
    <w:rsid w:val="002A5A82"/>
    <w:rsid w:val="002A7303"/>
    <w:rsid w:val="002B0C46"/>
    <w:rsid w:val="002B1427"/>
    <w:rsid w:val="002C0067"/>
    <w:rsid w:val="002C2779"/>
    <w:rsid w:val="002C4362"/>
    <w:rsid w:val="002C4C57"/>
    <w:rsid w:val="002E41DB"/>
    <w:rsid w:val="002E5A2C"/>
    <w:rsid w:val="002E638B"/>
    <w:rsid w:val="002F0563"/>
    <w:rsid w:val="002F0ADE"/>
    <w:rsid w:val="002F2117"/>
    <w:rsid w:val="002F2222"/>
    <w:rsid w:val="002F2474"/>
    <w:rsid w:val="0030104A"/>
    <w:rsid w:val="00304E2E"/>
    <w:rsid w:val="0030514B"/>
    <w:rsid w:val="00310027"/>
    <w:rsid w:val="00310359"/>
    <w:rsid w:val="00314C7D"/>
    <w:rsid w:val="00315E11"/>
    <w:rsid w:val="00324D18"/>
    <w:rsid w:val="00325974"/>
    <w:rsid w:val="00330E38"/>
    <w:rsid w:val="0033194F"/>
    <w:rsid w:val="003369C6"/>
    <w:rsid w:val="00343010"/>
    <w:rsid w:val="00347761"/>
    <w:rsid w:val="003533BF"/>
    <w:rsid w:val="00354FA9"/>
    <w:rsid w:val="00357823"/>
    <w:rsid w:val="00363C5C"/>
    <w:rsid w:val="0036692A"/>
    <w:rsid w:val="00367EF6"/>
    <w:rsid w:val="00370584"/>
    <w:rsid w:val="00371773"/>
    <w:rsid w:val="00371A63"/>
    <w:rsid w:val="003724BC"/>
    <w:rsid w:val="003729EA"/>
    <w:rsid w:val="00372A44"/>
    <w:rsid w:val="003747FB"/>
    <w:rsid w:val="00377CA7"/>
    <w:rsid w:val="00381E28"/>
    <w:rsid w:val="00385625"/>
    <w:rsid w:val="00390B07"/>
    <w:rsid w:val="00390E66"/>
    <w:rsid w:val="00391583"/>
    <w:rsid w:val="0039733B"/>
    <w:rsid w:val="003A0629"/>
    <w:rsid w:val="003A34FD"/>
    <w:rsid w:val="003A5B2D"/>
    <w:rsid w:val="003A6405"/>
    <w:rsid w:val="003B48EC"/>
    <w:rsid w:val="003B5274"/>
    <w:rsid w:val="003B7C2F"/>
    <w:rsid w:val="003C0273"/>
    <w:rsid w:val="003C74B3"/>
    <w:rsid w:val="003D16E6"/>
    <w:rsid w:val="003D17A1"/>
    <w:rsid w:val="003D30AF"/>
    <w:rsid w:val="003D4E66"/>
    <w:rsid w:val="003D5DB8"/>
    <w:rsid w:val="003D7FEC"/>
    <w:rsid w:val="003E2203"/>
    <w:rsid w:val="003E49AC"/>
    <w:rsid w:val="003E6FCE"/>
    <w:rsid w:val="003F3776"/>
    <w:rsid w:val="003F3AF5"/>
    <w:rsid w:val="003F4F03"/>
    <w:rsid w:val="004006C4"/>
    <w:rsid w:val="00401512"/>
    <w:rsid w:val="00401936"/>
    <w:rsid w:val="00403FFF"/>
    <w:rsid w:val="004112E8"/>
    <w:rsid w:val="00416493"/>
    <w:rsid w:val="0041655E"/>
    <w:rsid w:val="004201E0"/>
    <w:rsid w:val="00420280"/>
    <w:rsid w:val="00420F0E"/>
    <w:rsid w:val="00421039"/>
    <w:rsid w:val="0042251E"/>
    <w:rsid w:val="00424D49"/>
    <w:rsid w:val="00425D23"/>
    <w:rsid w:val="00430344"/>
    <w:rsid w:val="004307AD"/>
    <w:rsid w:val="0043181D"/>
    <w:rsid w:val="004371E0"/>
    <w:rsid w:val="00443507"/>
    <w:rsid w:val="00444736"/>
    <w:rsid w:val="0044512B"/>
    <w:rsid w:val="004519F0"/>
    <w:rsid w:val="004546E8"/>
    <w:rsid w:val="00454D2D"/>
    <w:rsid w:val="00460346"/>
    <w:rsid w:val="0046300C"/>
    <w:rsid w:val="0046328F"/>
    <w:rsid w:val="00464086"/>
    <w:rsid w:val="004643EA"/>
    <w:rsid w:val="00471FF8"/>
    <w:rsid w:val="004801D3"/>
    <w:rsid w:val="00483349"/>
    <w:rsid w:val="00485593"/>
    <w:rsid w:val="004911D7"/>
    <w:rsid w:val="004912ED"/>
    <w:rsid w:val="00496124"/>
    <w:rsid w:val="00497AA0"/>
    <w:rsid w:val="004A09EA"/>
    <w:rsid w:val="004A3A4A"/>
    <w:rsid w:val="004A4FE6"/>
    <w:rsid w:val="004B2568"/>
    <w:rsid w:val="004B63CF"/>
    <w:rsid w:val="004C44BA"/>
    <w:rsid w:val="004C52C7"/>
    <w:rsid w:val="004C678F"/>
    <w:rsid w:val="004D1625"/>
    <w:rsid w:val="004D1B13"/>
    <w:rsid w:val="004D44E1"/>
    <w:rsid w:val="004D623B"/>
    <w:rsid w:val="004E10D8"/>
    <w:rsid w:val="004E326C"/>
    <w:rsid w:val="004E4263"/>
    <w:rsid w:val="004E6FD6"/>
    <w:rsid w:val="004E7D32"/>
    <w:rsid w:val="004F000B"/>
    <w:rsid w:val="004F0D0D"/>
    <w:rsid w:val="004F20F7"/>
    <w:rsid w:val="004F3169"/>
    <w:rsid w:val="00502B66"/>
    <w:rsid w:val="00506C24"/>
    <w:rsid w:val="0051008B"/>
    <w:rsid w:val="0052382F"/>
    <w:rsid w:val="0052483D"/>
    <w:rsid w:val="00531100"/>
    <w:rsid w:val="00532425"/>
    <w:rsid w:val="005336F2"/>
    <w:rsid w:val="00534899"/>
    <w:rsid w:val="00534D57"/>
    <w:rsid w:val="005357F2"/>
    <w:rsid w:val="00542324"/>
    <w:rsid w:val="00543714"/>
    <w:rsid w:val="00546C47"/>
    <w:rsid w:val="0054752D"/>
    <w:rsid w:val="00551DCE"/>
    <w:rsid w:val="00563EC3"/>
    <w:rsid w:val="00564DA9"/>
    <w:rsid w:val="00567546"/>
    <w:rsid w:val="00567F86"/>
    <w:rsid w:val="005736FE"/>
    <w:rsid w:val="00574895"/>
    <w:rsid w:val="00577120"/>
    <w:rsid w:val="005831B8"/>
    <w:rsid w:val="0058578C"/>
    <w:rsid w:val="005864C0"/>
    <w:rsid w:val="005867FF"/>
    <w:rsid w:val="00594E78"/>
    <w:rsid w:val="00597BA0"/>
    <w:rsid w:val="005B13EF"/>
    <w:rsid w:val="005B4AD2"/>
    <w:rsid w:val="005B662F"/>
    <w:rsid w:val="005C2069"/>
    <w:rsid w:val="005C33C0"/>
    <w:rsid w:val="005D17D9"/>
    <w:rsid w:val="005E45CB"/>
    <w:rsid w:val="005E6C26"/>
    <w:rsid w:val="005F0ABF"/>
    <w:rsid w:val="005F1B16"/>
    <w:rsid w:val="005F2BBB"/>
    <w:rsid w:val="005F3480"/>
    <w:rsid w:val="00600F9D"/>
    <w:rsid w:val="00603952"/>
    <w:rsid w:val="00610FC3"/>
    <w:rsid w:val="00612EE4"/>
    <w:rsid w:val="00617636"/>
    <w:rsid w:val="0062205A"/>
    <w:rsid w:val="00623A51"/>
    <w:rsid w:val="0063273B"/>
    <w:rsid w:val="006358B7"/>
    <w:rsid w:val="006361C0"/>
    <w:rsid w:val="00637963"/>
    <w:rsid w:val="00640725"/>
    <w:rsid w:val="006413F1"/>
    <w:rsid w:val="00643A68"/>
    <w:rsid w:val="00644B59"/>
    <w:rsid w:val="00644BBC"/>
    <w:rsid w:val="006450E0"/>
    <w:rsid w:val="006458DD"/>
    <w:rsid w:val="00646DCC"/>
    <w:rsid w:val="00647B76"/>
    <w:rsid w:val="0065016D"/>
    <w:rsid w:val="0065164D"/>
    <w:rsid w:val="00652BF9"/>
    <w:rsid w:val="00653730"/>
    <w:rsid w:val="0065559D"/>
    <w:rsid w:val="00657789"/>
    <w:rsid w:val="00660A35"/>
    <w:rsid w:val="00660D08"/>
    <w:rsid w:val="00661089"/>
    <w:rsid w:val="00662214"/>
    <w:rsid w:val="00663AFD"/>
    <w:rsid w:val="00663D39"/>
    <w:rsid w:val="00664C4F"/>
    <w:rsid w:val="00666644"/>
    <w:rsid w:val="00667E58"/>
    <w:rsid w:val="00670C98"/>
    <w:rsid w:val="006722F5"/>
    <w:rsid w:val="00675E98"/>
    <w:rsid w:val="00677340"/>
    <w:rsid w:val="00685CFD"/>
    <w:rsid w:val="0068652D"/>
    <w:rsid w:val="00687C55"/>
    <w:rsid w:val="00693205"/>
    <w:rsid w:val="0069341D"/>
    <w:rsid w:val="00695956"/>
    <w:rsid w:val="00697418"/>
    <w:rsid w:val="0069771C"/>
    <w:rsid w:val="006A153C"/>
    <w:rsid w:val="006A6819"/>
    <w:rsid w:val="006B1824"/>
    <w:rsid w:val="006B206B"/>
    <w:rsid w:val="006B481E"/>
    <w:rsid w:val="006C24EF"/>
    <w:rsid w:val="006C3759"/>
    <w:rsid w:val="006C6A7C"/>
    <w:rsid w:val="006D7E57"/>
    <w:rsid w:val="006E25A4"/>
    <w:rsid w:val="006E683E"/>
    <w:rsid w:val="006F2C6E"/>
    <w:rsid w:val="006F3BDA"/>
    <w:rsid w:val="006F59D8"/>
    <w:rsid w:val="006F7816"/>
    <w:rsid w:val="00703C03"/>
    <w:rsid w:val="007063B3"/>
    <w:rsid w:val="007074EE"/>
    <w:rsid w:val="007109C4"/>
    <w:rsid w:val="0071337C"/>
    <w:rsid w:val="00713B7C"/>
    <w:rsid w:val="00717AC0"/>
    <w:rsid w:val="00717B60"/>
    <w:rsid w:val="00720B9D"/>
    <w:rsid w:val="00722996"/>
    <w:rsid w:val="007269EB"/>
    <w:rsid w:val="00730415"/>
    <w:rsid w:val="00730C82"/>
    <w:rsid w:val="0073407B"/>
    <w:rsid w:val="007364C5"/>
    <w:rsid w:val="00741421"/>
    <w:rsid w:val="00742D6E"/>
    <w:rsid w:val="00744424"/>
    <w:rsid w:val="0074676A"/>
    <w:rsid w:val="00766479"/>
    <w:rsid w:val="00770F98"/>
    <w:rsid w:val="00771075"/>
    <w:rsid w:val="00780582"/>
    <w:rsid w:val="0078219D"/>
    <w:rsid w:val="007822CF"/>
    <w:rsid w:val="00782C7A"/>
    <w:rsid w:val="00782EF3"/>
    <w:rsid w:val="007840BC"/>
    <w:rsid w:val="007849C4"/>
    <w:rsid w:val="00784FA6"/>
    <w:rsid w:val="007A21AF"/>
    <w:rsid w:val="007A3CD5"/>
    <w:rsid w:val="007A56A1"/>
    <w:rsid w:val="007B0558"/>
    <w:rsid w:val="007B1603"/>
    <w:rsid w:val="007B173A"/>
    <w:rsid w:val="007B19D6"/>
    <w:rsid w:val="007B2347"/>
    <w:rsid w:val="007B4286"/>
    <w:rsid w:val="007B6D7A"/>
    <w:rsid w:val="007C0B79"/>
    <w:rsid w:val="007C16E0"/>
    <w:rsid w:val="007C65CD"/>
    <w:rsid w:val="007C7042"/>
    <w:rsid w:val="007C784A"/>
    <w:rsid w:val="007D18B6"/>
    <w:rsid w:val="007D1C71"/>
    <w:rsid w:val="007D3499"/>
    <w:rsid w:val="007D6C92"/>
    <w:rsid w:val="007E135C"/>
    <w:rsid w:val="007E5479"/>
    <w:rsid w:val="007E6B2D"/>
    <w:rsid w:val="007E7F17"/>
    <w:rsid w:val="00801534"/>
    <w:rsid w:val="00801858"/>
    <w:rsid w:val="0080186B"/>
    <w:rsid w:val="008025A1"/>
    <w:rsid w:val="0080390C"/>
    <w:rsid w:val="008114B0"/>
    <w:rsid w:val="00820713"/>
    <w:rsid w:val="00826966"/>
    <w:rsid w:val="0083088A"/>
    <w:rsid w:val="00830EFF"/>
    <w:rsid w:val="00833B00"/>
    <w:rsid w:val="008367A5"/>
    <w:rsid w:val="00837524"/>
    <w:rsid w:val="00840630"/>
    <w:rsid w:val="008421A1"/>
    <w:rsid w:val="008436E1"/>
    <w:rsid w:val="00845336"/>
    <w:rsid w:val="00846C83"/>
    <w:rsid w:val="00853B09"/>
    <w:rsid w:val="00861728"/>
    <w:rsid w:val="00863435"/>
    <w:rsid w:val="00864BFE"/>
    <w:rsid w:val="00870C24"/>
    <w:rsid w:val="00872F93"/>
    <w:rsid w:val="00880137"/>
    <w:rsid w:val="008924AB"/>
    <w:rsid w:val="00893A4C"/>
    <w:rsid w:val="00895352"/>
    <w:rsid w:val="008A1229"/>
    <w:rsid w:val="008A1D2D"/>
    <w:rsid w:val="008A28C1"/>
    <w:rsid w:val="008A5389"/>
    <w:rsid w:val="008A629D"/>
    <w:rsid w:val="008A744E"/>
    <w:rsid w:val="008B5713"/>
    <w:rsid w:val="008C049F"/>
    <w:rsid w:val="008C4170"/>
    <w:rsid w:val="008C52BF"/>
    <w:rsid w:val="008C6BC0"/>
    <w:rsid w:val="008D0225"/>
    <w:rsid w:val="008D13A1"/>
    <w:rsid w:val="008D7B04"/>
    <w:rsid w:val="008E1FD5"/>
    <w:rsid w:val="008E3764"/>
    <w:rsid w:val="008E7C4A"/>
    <w:rsid w:val="008F2496"/>
    <w:rsid w:val="00900426"/>
    <w:rsid w:val="00900B75"/>
    <w:rsid w:val="009024C9"/>
    <w:rsid w:val="00903FD6"/>
    <w:rsid w:val="00904BA1"/>
    <w:rsid w:val="00905109"/>
    <w:rsid w:val="0091023F"/>
    <w:rsid w:val="0091284F"/>
    <w:rsid w:val="009128D7"/>
    <w:rsid w:val="00913112"/>
    <w:rsid w:val="009150C5"/>
    <w:rsid w:val="009178DA"/>
    <w:rsid w:val="009223FF"/>
    <w:rsid w:val="00922E96"/>
    <w:rsid w:val="00924FCC"/>
    <w:rsid w:val="00927093"/>
    <w:rsid w:val="00936192"/>
    <w:rsid w:val="00936AA7"/>
    <w:rsid w:val="00940698"/>
    <w:rsid w:val="009442CE"/>
    <w:rsid w:val="0095713A"/>
    <w:rsid w:val="00963833"/>
    <w:rsid w:val="00965438"/>
    <w:rsid w:val="009662AD"/>
    <w:rsid w:val="00970D68"/>
    <w:rsid w:val="0097228C"/>
    <w:rsid w:val="00975807"/>
    <w:rsid w:val="009771DC"/>
    <w:rsid w:val="00980453"/>
    <w:rsid w:val="00981C63"/>
    <w:rsid w:val="00982503"/>
    <w:rsid w:val="00983532"/>
    <w:rsid w:val="009858CD"/>
    <w:rsid w:val="00986469"/>
    <w:rsid w:val="009871E0"/>
    <w:rsid w:val="00990D18"/>
    <w:rsid w:val="00993CE1"/>
    <w:rsid w:val="00995811"/>
    <w:rsid w:val="00997A27"/>
    <w:rsid w:val="009A1AB3"/>
    <w:rsid w:val="009A2EED"/>
    <w:rsid w:val="009A5C2F"/>
    <w:rsid w:val="009A63A8"/>
    <w:rsid w:val="009B0768"/>
    <w:rsid w:val="009B509C"/>
    <w:rsid w:val="009B51C1"/>
    <w:rsid w:val="009B6C4E"/>
    <w:rsid w:val="009C1F46"/>
    <w:rsid w:val="009C1FCC"/>
    <w:rsid w:val="009C25A3"/>
    <w:rsid w:val="009C4271"/>
    <w:rsid w:val="009C635C"/>
    <w:rsid w:val="009D0071"/>
    <w:rsid w:val="009D1A2F"/>
    <w:rsid w:val="009D39EB"/>
    <w:rsid w:val="009D50B9"/>
    <w:rsid w:val="009D7807"/>
    <w:rsid w:val="009E1EF8"/>
    <w:rsid w:val="009E6DB7"/>
    <w:rsid w:val="009F0CF5"/>
    <w:rsid w:val="009F1F44"/>
    <w:rsid w:val="009F2C1A"/>
    <w:rsid w:val="009F41B3"/>
    <w:rsid w:val="009F6C63"/>
    <w:rsid w:val="009F767F"/>
    <w:rsid w:val="00A0755B"/>
    <w:rsid w:val="00A16458"/>
    <w:rsid w:val="00A16686"/>
    <w:rsid w:val="00A23DBC"/>
    <w:rsid w:val="00A26594"/>
    <w:rsid w:val="00A31E9A"/>
    <w:rsid w:val="00A37753"/>
    <w:rsid w:val="00A407C1"/>
    <w:rsid w:val="00A409D7"/>
    <w:rsid w:val="00A47077"/>
    <w:rsid w:val="00A521C2"/>
    <w:rsid w:val="00A552B0"/>
    <w:rsid w:val="00A5580B"/>
    <w:rsid w:val="00A65566"/>
    <w:rsid w:val="00A66F9C"/>
    <w:rsid w:val="00A67B08"/>
    <w:rsid w:val="00A71D8D"/>
    <w:rsid w:val="00A7407E"/>
    <w:rsid w:val="00A7516C"/>
    <w:rsid w:val="00A75224"/>
    <w:rsid w:val="00A77E86"/>
    <w:rsid w:val="00A871B2"/>
    <w:rsid w:val="00A8743C"/>
    <w:rsid w:val="00A87F5F"/>
    <w:rsid w:val="00A91DEA"/>
    <w:rsid w:val="00A956C7"/>
    <w:rsid w:val="00AA20D5"/>
    <w:rsid w:val="00AA3F35"/>
    <w:rsid w:val="00AA6602"/>
    <w:rsid w:val="00AB1228"/>
    <w:rsid w:val="00AB160C"/>
    <w:rsid w:val="00AB328E"/>
    <w:rsid w:val="00AB3D77"/>
    <w:rsid w:val="00AB4213"/>
    <w:rsid w:val="00AB52E8"/>
    <w:rsid w:val="00AB5451"/>
    <w:rsid w:val="00AB586D"/>
    <w:rsid w:val="00AC05EA"/>
    <w:rsid w:val="00AC0BB2"/>
    <w:rsid w:val="00AC3A84"/>
    <w:rsid w:val="00AC61FD"/>
    <w:rsid w:val="00AC72E6"/>
    <w:rsid w:val="00AD0859"/>
    <w:rsid w:val="00AD197F"/>
    <w:rsid w:val="00AD1C71"/>
    <w:rsid w:val="00AD37FE"/>
    <w:rsid w:val="00AD77CB"/>
    <w:rsid w:val="00AE1230"/>
    <w:rsid w:val="00AF024F"/>
    <w:rsid w:val="00AF2DD9"/>
    <w:rsid w:val="00AF584D"/>
    <w:rsid w:val="00AF6109"/>
    <w:rsid w:val="00AF6C31"/>
    <w:rsid w:val="00AF7F0B"/>
    <w:rsid w:val="00B022E6"/>
    <w:rsid w:val="00B02D77"/>
    <w:rsid w:val="00B02E81"/>
    <w:rsid w:val="00B0346F"/>
    <w:rsid w:val="00B03E3E"/>
    <w:rsid w:val="00B058BA"/>
    <w:rsid w:val="00B069BA"/>
    <w:rsid w:val="00B07C98"/>
    <w:rsid w:val="00B101F1"/>
    <w:rsid w:val="00B123C9"/>
    <w:rsid w:val="00B144D6"/>
    <w:rsid w:val="00B16AC1"/>
    <w:rsid w:val="00B204B5"/>
    <w:rsid w:val="00B2080A"/>
    <w:rsid w:val="00B20D40"/>
    <w:rsid w:val="00B21D5B"/>
    <w:rsid w:val="00B22339"/>
    <w:rsid w:val="00B23606"/>
    <w:rsid w:val="00B25B10"/>
    <w:rsid w:val="00B31EAA"/>
    <w:rsid w:val="00B337F5"/>
    <w:rsid w:val="00B41A66"/>
    <w:rsid w:val="00B44582"/>
    <w:rsid w:val="00B44658"/>
    <w:rsid w:val="00B453BF"/>
    <w:rsid w:val="00B464E9"/>
    <w:rsid w:val="00B476BC"/>
    <w:rsid w:val="00B54A98"/>
    <w:rsid w:val="00B54B0F"/>
    <w:rsid w:val="00B54C1C"/>
    <w:rsid w:val="00B578ED"/>
    <w:rsid w:val="00B57F66"/>
    <w:rsid w:val="00B6252E"/>
    <w:rsid w:val="00B66345"/>
    <w:rsid w:val="00B667C6"/>
    <w:rsid w:val="00B71719"/>
    <w:rsid w:val="00B75764"/>
    <w:rsid w:val="00B77359"/>
    <w:rsid w:val="00B84699"/>
    <w:rsid w:val="00B85F46"/>
    <w:rsid w:val="00B901F0"/>
    <w:rsid w:val="00B91CF6"/>
    <w:rsid w:val="00B927F2"/>
    <w:rsid w:val="00BA3DB4"/>
    <w:rsid w:val="00BA453F"/>
    <w:rsid w:val="00BB016C"/>
    <w:rsid w:val="00BB2AB9"/>
    <w:rsid w:val="00BB30BF"/>
    <w:rsid w:val="00BB626D"/>
    <w:rsid w:val="00BB6974"/>
    <w:rsid w:val="00BC3E06"/>
    <w:rsid w:val="00BC5856"/>
    <w:rsid w:val="00BD2FFE"/>
    <w:rsid w:val="00BD5AF9"/>
    <w:rsid w:val="00BD667C"/>
    <w:rsid w:val="00BD7454"/>
    <w:rsid w:val="00BE0665"/>
    <w:rsid w:val="00BE0C27"/>
    <w:rsid w:val="00BE115C"/>
    <w:rsid w:val="00BE1418"/>
    <w:rsid w:val="00BE151B"/>
    <w:rsid w:val="00BE4C65"/>
    <w:rsid w:val="00BF0262"/>
    <w:rsid w:val="00BF19F8"/>
    <w:rsid w:val="00BF1B50"/>
    <w:rsid w:val="00BF6CFC"/>
    <w:rsid w:val="00BF70CF"/>
    <w:rsid w:val="00C02285"/>
    <w:rsid w:val="00C0668F"/>
    <w:rsid w:val="00C102C8"/>
    <w:rsid w:val="00C104AB"/>
    <w:rsid w:val="00C11ADD"/>
    <w:rsid w:val="00C162C5"/>
    <w:rsid w:val="00C16319"/>
    <w:rsid w:val="00C234CD"/>
    <w:rsid w:val="00C24663"/>
    <w:rsid w:val="00C25B80"/>
    <w:rsid w:val="00C26EB3"/>
    <w:rsid w:val="00C2756B"/>
    <w:rsid w:val="00C31D08"/>
    <w:rsid w:val="00C33767"/>
    <w:rsid w:val="00C429B3"/>
    <w:rsid w:val="00C43E10"/>
    <w:rsid w:val="00C45812"/>
    <w:rsid w:val="00C47C11"/>
    <w:rsid w:val="00C51A02"/>
    <w:rsid w:val="00C63901"/>
    <w:rsid w:val="00C6481B"/>
    <w:rsid w:val="00C6573D"/>
    <w:rsid w:val="00C67030"/>
    <w:rsid w:val="00C72500"/>
    <w:rsid w:val="00C7610F"/>
    <w:rsid w:val="00C764FD"/>
    <w:rsid w:val="00C76CCE"/>
    <w:rsid w:val="00C812F7"/>
    <w:rsid w:val="00C8218F"/>
    <w:rsid w:val="00C84934"/>
    <w:rsid w:val="00C849DD"/>
    <w:rsid w:val="00C93A68"/>
    <w:rsid w:val="00C94C68"/>
    <w:rsid w:val="00CA07D8"/>
    <w:rsid w:val="00CA242F"/>
    <w:rsid w:val="00CA3791"/>
    <w:rsid w:val="00CA475F"/>
    <w:rsid w:val="00CB6078"/>
    <w:rsid w:val="00CB7195"/>
    <w:rsid w:val="00CB723B"/>
    <w:rsid w:val="00CC206B"/>
    <w:rsid w:val="00CC7AD3"/>
    <w:rsid w:val="00CD0391"/>
    <w:rsid w:val="00CD7E30"/>
    <w:rsid w:val="00CD7E51"/>
    <w:rsid w:val="00CE369B"/>
    <w:rsid w:val="00CE59B8"/>
    <w:rsid w:val="00CE5A42"/>
    <w:rsid w:val="00CF14EA"/>
    <w:rsid w:val="00CF1AF9"/>
    <w:rsid w:val="00CF6EF5"/>
    <w:rsid w:val="00CF7349"/>
    <w:rsid w:val="00D02121"/>
    <w:rsid w:val="00D04519"/>
    <w:rsid w:val="00D054E2"/>
    <w:rsid w:val="00D10592"/>
    <w:rsid w:val="00D11880"/>
    <w:rsid w:val="00D23DA3"/>
    <w:rsid w:val="00D243E7"/>
    <w:rsid w:val="00D25511"/>
    <w:rsid w:val="00D25BF8"/>
    <w:rsid w:val="00D311A8"/>
    <w:rsid w:val="00D316E2"/>
    <w:rsid w:val="00D36286"/>
    <w:rsid w:val="00D407C8"/>
    <w:rsid w:val="00D43069"/>
    <w:rsid w:val="00D513FF"/>
    <w:rsid w:val="00D57804"/>
    <w:rsid w:val="00D57B79"/>
    <w:rsid w:val="00D61E63"/>
    <w:rsid w:val="00D62E1E"/>
    <w:rsid w:val="00D73B32"/>
    <w:rsid w:val="00D73C51"/>
    <w:rsid w:val="00D80CC7"/>
    <w:rsid w:val="00D81837"/>
    <w:rsid w:val="00D81A09"/>
    <w:rsid w:val="00D83572"/>
    <w:rsid w:val="00D85A38"/>
    <w:rsid w:val="00D87A11"/>
    <w:rsid w:val="00D87A7E"/>
    <w:rsid w:val="00D978E0"/>
    <w:rsid w:val="00DA306E"/>
    <w:rsid w:val="00DA6837"/>
    <w:rsid w:val="00DA7260"/>
    <w:rsid w:val="00DB07EF"/>
    <w:rsid w:val="00DB0D24"/>
    <w:rsid w:val="00DB34FE"/>
    <w:rsid w:val="00DD09FC"/>
    <w:rsid w:val="00DD2CF7"/>
    <w:rsid w:val="00DD3D87"/>
    <w:rsid w:val="00DD662A"/>
    <w:rsid w:val="00DE0043"/>
    <w:rsid w:val="00DE2808"/>
    <w:rsid w:val="00DE378E"/>
    <w:rsid w:val="00DE5B8B"/>
    <w:rsid w:val="00DE76C3"/>
    <w:rsid w:val="00DF6F16"/>
    <w:rsid w:val="00E00B63"/>
    <w:rsid w:val="00E038F7"/>
    <w:rsid w:val="00E05320"/>
    <w:rsid w:val="00E10F4F"/>
    <w:rsid w:val="00E1113B"/>
    <w:rsid w:val="00E1209F"/>
    <w:rsid w:val="00E134BA"/>
    <w:rsid w:val="00E13F26"/>
    <w:rsid w:val="00E153F3"/>
    <w:rsid w:val="00E16243"/>
    <w:rsid w:val="00E208D5"/>
    <w:rsid w:val="00E25ADE"/>
    <w:rsid w:val="00E27C78"/>
    <w:rsid w:val="00E307A4"/>
    <w:rsid w:val="00E326EE"/>
    <w:rsid w:val="00E32BF0"/>
    <w:rsid w:val="00E353D8"/>
    <w:rsid w:val="00E356E1"/>
    <w:rsid w:val="00E35C46"/>
    <w:rsid w:val="00E43CFA"/>
    <w:rsid w:val="00E44139"/>
    <w:rsid w:val="00E46313"/>
    <w:rsid w:val="00E505C9"/>
    <w:rsid w:val="00E51E89"/>
    <w:rsid w:val="00E52C73"/>
    <w:rsid w:val="00E56A4D"/>
    <w:rsid w:val="00E6693E"/>
    <w:rsid w:val="00E81996"/>
    <w:rsid w:val="00E823E6"/>
    <w:rsid w:val="00E82653"/>
    <w:rsid w:val="00E85645"/>
    <w:rsid w:val="00E876E8"/>
    <w:rsid w:val="00E9286E"/>
    <w:rsid w:val="00E93E7F"/>
    <w:rsid w:val="00EA07B8"/>
    <w:rsid w:val="00EA48C4"/>
    <w:rsid w:val="00EB12BC"/>
    <w:rsid w:val="00EB3534"/>
    <w:rsid w:val="00EB3BAE"/>
    <w:rsid w:val="00EB65D1"/>
    <w:rsid w:val="00EC42A0"/>
    <w:rsid w:val="00EC4823"/>
    <w:rsid w:val="00EC5181"/>
    <w:rsid w:val="00EC59E0"/>
    <w:rsid w:val="00EC7152"/>
    <w:rsid w:val="00ED1D24"/>
    <w:rsid w:val="00ED37CA"/>
    <w:rsid w:val="00EE11FD"/>
    <w:rsid w:val="00EE1595"/>
    <w:rsid w:val="00EE1CF9"/>
    <w:rsid w:val="00EE26F0"/>
    <w:rsid w:val="00EE3339"/>
    <w:rsid w:val="00EE5F78"/>
    <w:rsid w:val="00EF07B7"/>
    <w:rsid w:val="00EF15C7"/>
    <w:rsid w:val="00EF6D8A"/>
    <w:rsid w:val="00EF72C7"/>
    <w:rsid w:val="00F07356"/>
    <w:rsid w:val="00F07E7F"/>
    <w:rsid w:val="00F12033"/>
    <w:rsid w:val="00F130C9"/>
    <w:rsid w:val="00F13A9B"/>
    <w:rsid w:val="00F158C1"/>
    <w:rsid w:val="00F200BF"/>
    <w:rsid w:val="00F23665"/>
    <w:rsid w:val="00F3588A"/>
    <w:rsid w:val="00F35AD7"/>
    <w:rsid w:val="00F36D3D"/>
    <w:rsid w:val="00F40AC0"/>
    <w:rsid w:val="00F5682F"/>
    <w:rsid w:val="00F630B9"/>
    <w:rsid w:val="00F66739"/>
    <w:rsid w:val="00F67673"/>
    <w:rsid w:val="00F70F9F"/>
    <w:rsid w:val="00F7227D"/>
    <w:rsid w:val="00F72285"/>
    <w:rsid w:val="00F80813"/>
    <w:rsid w:val="00F83C15"/>
    <w:rsid w:val="00F9043C"/>
    <w:rsid w:val="00F906AD"/>
    <w:rsid w:val="00F91C8A"/>
    <w:rsid w:val="00F93701"/>
    <w:rsid w:val="00F94D38"/>
    <w:rsid w:val="00F9694E"/>
    <w:rsid w:val="00FA0341"/>
    <w:rsid w:val="00FA50A2"/>
    <w:rsid w:val="00FB15E6"/>
    <w:rsid w:val="00FB42BC"/>
    <w:rsid w:val="00FB52CF"/>
    <w:rsid w:val="00FB53F8"/>
    <w:rsid w:val="00FB6F0D"/>
    <w:rsid w:val="00FC2655"/>
    <w:rsid w:val="00FC7EAA"/>
    <w:rsid w:val="00FD0E99"/>
    <w:rsid w:val="00FD3899"/>
    <w:rsid w:val="00FD5599"/>
    <w:rsid w:val="00FE0206"/>
    <w:rsid w:val="00FE0216"/>
    <w:rsid w:val="00FE09B3"/>
    <w:rsid w:val="00FE1D80"/>
    <w:rsid w:val="00FE2835"/>
    <w:rsid w:val="00FE3347"/>
    <w:rsid w:val="00FE33C0"/>
    <w:rsid w:val="00FE54C8"/>
    <w:rsid w:val="00FF2881"/>
    <w:rsid w:val="00FF2905"/>
    <w:rsid w:val="00FF43BD"/>
    <w:rsid w:val="00FF604A"/>
    <w:rsid w:val="00FF6ECA"/>
    <w:rsid w:val="00FF789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B9BD"/>
  <w15:chartTrackingRefBased/>
  <w15:docId w15:val="{5521385A-468B-418B-A4E3-C911E6E8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6F16"/>
    <w:pPr>
      <w:ind w:left="720"/>
      <w:contextualSpacing/>
    </w:pPr>
  </w:style>
  <w:style w:type="character" w:customStyle="1" w:styleId="ListParagraphChar">
    <w:name w:val="List Paragraph Char"/>
    <w:basedOn w:val="DefaultParagraphFont"/>
    <w:link w:val="ListParagraph"/>
    <w:uiPriority w:val="34"/>
    <w:rsid w:val="00DF6F16"/>
  </w:style>
  <w:style w:type="paragraph" w:customStyle="1" w:styleId="Default">
    <w:name w:val="Default"/>
    <w:rsid w:val="000D016C"/>
    <w:pPr>
      <w:autoSpaceDE w:val="0"/>
      <w:autoSpaceDN w:val="0"/>
      <w:adjustRightInd w:val="0"/>
      <w:spacing w:after="0" w:line="240" w:lineRule="auto"/>
    </w:pPr>
    <w:rPr>
      <w:rFonts w:ascii="Times New Roman" w:hAnsi="Times New Roman" w:cs="Times New Roman"/>
      <w:color w:val="000000"/>
      <w:sz w:val="24"/>
      <w:szCs w:val="24"/>
      <w:lang w:val="nl-BE"/>
    </w:rPr>
  </w:style>
  <w:style w:type="paragraph" w:styleId="BalloonText">
    <w:name w:val="Balloon Text"/>
    <w:basedOn w:val="Normal"/>
    <w:link w:val="BalloonTextChar"/>
    <w:uiPriority w:val="99"/>
    <w:semiHidden/>
    <w:unhideWhenUsed/>
    <w:rsid w:val="00FF7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43">
      <w:bodyDiv w:val="1"/>
      <w:marLeft w:val="0"/>
      <w:marRight w:val="0"/>
      <w:marTop w:val="0"/>
      <w:marBottom w:val="0"/>
      <w:divBdr>
        <w:top w:val="none" w:sz="0" w:space="0" w:color="auto"/>
        <w:left w:val="none" w:sz="0" w:space="0" w:color="auto"/>
        <w:bottom w:val="none" w:sz="0" w:space="0" w:color="auto"/>
        <w:right w:val="none" w:sz="0" w:space="0" w:color="auto"/>
      </w:divBdr>
    </w:div>
    <w:div w:id="28920522">
      <w:bodyDiv w:val="1"/>
      <w:marLeft w:val="0"/>
      <w:marRight w:val="0"/>
      <w:marTop w:val="0"/>
      <w:marBottom w:val="0"/>
      <w:divBdr>
        <w:top w:val="none" w:sz="0" w:space="0" w:color="auto"/>
        <w:left w:val="none" w:sz="0" w:space="0" w:color="auto"/>
        <w:bottom w:val="none" w:sz="0" w:space="0" w:color="auto"/>
        <w:right w:val="none" w:sz="0" w:space="0" w:color="auto"/>
      </w:divBdr>
    </w:div>
    <w:div w:id="117796679">
      <w:bodyDiv w:val="1"/>
      <w:marLeft w:val="0"/>
      <w:marRight w:val="0"/>
      <w:marTop w:val="0"/>
      <w:marBottom w:val="0"/>
      <w:divBdr>
        <w:top w:val="none" w:sz="0" w:space="0" w:color="auto"/>
        <w:left w:val="none" w:sz="0" w:space="0" w:color="auto"/>
        <w:bottom w:val="none" w:sz="0" w:space="0" w:color="auto"/>
        <w:right w:val="none" w:sz="0" w:space="0" w:color="auto"/>
      </w:divBdr>
    </w:div>
    <w:div w:id="180322279">
      <w:bodyDiv w:val="1"/>
      <w:marLeft w:val="0"/>
      <w:marRight w:val="0"/>
      <w:marTop w:val="0"/>
      <w:marBottom w:val="0"/>
      <w:divBdr>
        <w:top w:val="none" w:sz="0" w:space="0" w:color="auto"/>
        <w:left w:val="none" w:sz="0" w:space="0" w:color="auto"/>
        <w:bottom w:val="none" w:sz="0" w:space="0" w:color="auto"/>
        <w:right w:val="none" w:sz="0" w:space="0" w:color="auto"/>
      </w:divBdr>
    </w:div>
    <w:div w:id="392118466">
      <w:bodyDiv w:val="1"/>
      <w:marLeft w:val="0"/>
      <w:marRight w:val="0"/>
      <w:marTop w:val="0"/>
      <w:marBottom w:val="0"/>
      <w:divBdr>
        <w:top w:val="none" w:sz="0" w:space="0" w:color="auto"/>
        <w:left w:val="none" w:sz="0" w:space="0" w:color="auto"/>
        <w:bottom w:val="none" w:sz="0" w:space="0" w:color="auto"/>
        <w:right w:val="none" w:sz="0" w:space="0" w:color="auto"/>
      </w:divBdr>
    </w:div>
    <w:div w:id="392705006">
      <w:bodyDiv w:val="1"/>
      <w:marLeft w:val="0"/>
      <w:marRight w:val="0"/>
      <w:marTop w:val="0"/>
      <w:marBottom w:val="0"/>
      <w:divBdr>
        <w:top w:val="none" w:sz="0" w:space="0" w:color="auto"/>
        <w:left w:val="none" w:sz="0" w:space="0" w:color="auto"/>
        <w:bottom w:val="none" w:sz="0" w:space="0" w:color="auto"/>
        <w:right w:val="none" w:sz="0" w:space="0" w:color="auto"/>
      </w:divBdr>
    </w:div>
    <w:div w:id="472985340">
      <w:bodyDiv w:val="1"/>
      <w:marLeft w:val="0"/>
      <w:marRight w:val="0"/>
      <w:marTop w:val="0"/>
      <w:marBottom w:val="0"/>
      <w:divBdr>
        <w:top w:val="none" w:sz="0" w:space="0" w:color="auto"/>
        <w:left w:val="none" w:sz="0" w:space="0" w:color="auto"/>
        <w:bottom w:val="none" w:sz="0" w:space="0" w:color="auto"/>
        <w:right w:val="none" w:sz="0" w:space="0" w:color="auto"/>
      </w:divBdr>
    </w:div>
    <w:div w:id="660349264">
      <w:bodyDiv w:val="1"/>
      <w:marLeft w:val="0"/>
      <w:marRight w:val="0"/>
      <w:marTop w:val="0"/>
      <w:marBottom w:val="0"/>
      <w:divBdr>
        <w:top w:val="none" w:sz="0" w:space="0" w:color="auto"/>
        <w:left w:val="none" w:sz="0" w:space="0" w:color="auto"/>
        <w:bottom w:val="none" w:sz="0" w:space="0" w:color="auto"/>
        <w:right w:val="none" w:sz="0" w:space="0" w:color="auto"/>
      </w:divBdr>
    </w:div>
    <w:div w:id="707995619">
      <w:bodyDiv w:val="1"/>
      <w:marLeft w:val="0"/>
      <w:marRight w:val="0"/>
      <w:marTop w:val="0"/>
      <w:marBottom w:val="0"/>
      <w:divBdr>
        <w:top w:val="none" w:sz="0" w:space="0" w:color="auto"/>
        <w:left w:val="none" w:sz="0" w:space="0" w:color="auto"/>
        <w:bottom w:val="none" w:sz="0" w:space="0" w:color="auto"/>
        <w:right w:val="none" w:sz="0" w:space="0" w:color="auto"/>
      </w:divBdr>
    </w:div>
    <w:div w:id="788402987">
      <w:bodyDiv w:val="1"/>
      <w:marLeft w:val="0"/>
      <w:marRight w:val="0"/>
      <w:marTop w:val="0"/>
      <w:marBottom w:val="0"/>
      <w:divBdr>
        <w:top w:val="none" w:sz="0" w:space="0" w:color="auto"/>
        <w:left w:val="none" w:sz="0" w:space="0" w:color="auto"/>
        <w:bottom w:val="none" w:sz="0" w:space="0" w:color="auto"/>
        <w:right w:val="none" w:sz="0" w:space="0" w:color="auto"/>
      </w:divBdr>
    </w:div>
    <w:div w:id="830557801">
      <w:bodyDiv w:val="1"/>
      <w:marLeft w:val="0"/>
      <w:marRight w:val="0"/>
      <w:marTop w:val="0"/>
      <w:marBottom w:val="0"/>
      <w:divBdr>
        <w:top w:val="none" w:sz="0" w:space="0" w:color="auto"/>
        <w:left w:val="none" w:sz="0" w:space="0" w:color="auto"/>
        <w:bottom w:val="none" w:sz="0" w:space="0" w:color="auto"/>
        <w:right w:val="none" w:sz="0" w:space="0" w:color="auto"/>
      </w:divBdr>
    </w:div>
    <w:div w:id="1055735944">
      <w:bodyDiv w:val="1"/>
      <w:marLeft w:val="0"/>
      <w:marRight w:val="0"/>
      <w:marTop w:val="0"/>
      <w:marBottom w:val="0"/>
      <w:divBdr>
        <w:top w:val="none" w:sz="0" w:space="0" w:color="auto"/>
        <w:left w:val="none" w:sz="0" w:space="0" w:color="auto"/>
        <w:bottom w:val="none" w:sz="0" w:space="0" w:color="auto"/>
        <w:right w:val="none" w:sz="0" w:space="0" w:color="auto"/>
      </w:divBdr>
    </w:div>
    <w:div w:id="1087925831">
      <w:bodyDiv w:val="1"/>
      <w:marLeft w:val="0"/>
      <w:marRight w:val="0"/>
      <w:marTop w:val="0"/>
      <w:marBottom w:val="0"/>
      <w:divBdr>
        <w:top w:val="none" w:sz="0" w:space="0" w:color="auto"/>
        <w:left w:val="none" w:sz="0" w:space="0" w:color="auto"/>
        <w:bottom w:val="none" w:sz="0" w:space="0" w:color="auto"/>
        <w:right w:val="none" w:sz="0" w:space="0" w:color="auto"/>
      </w:divBdr>
    </w:div>
    <w:div w:id="1398557102">
      <w:bodyDiv w:val="1"/>
      <w:marLeft w:val="0"/>
      <w:marRight w:val="0"/>
      <w:marTop w:val="0"/>
      <w:marBottom w:val="0"/>
      <w:divBdr>
        <w:top w:val="none" w:sz="0" w:space="0" w:color="auto"/>
        <w:left w:val="none" w:sz="0" w:space="0" w:color="auto"/>
        <w:bottom w:val="none" w:sz="0" w:space="0" w:color="auto"/>
        <w:right w:val="none" w:sz="0" w:space="0" w:color="auto"/>
      </w:divBdr>
    </w:div>
    <w:div w:id="1429346084">
      <w:bodyDiv w:val="1"/>
      <w:marLeft w:val="0"/>
      <w:marRight w:val="0"/>
      <w:marTop w:val="0"/>
      <w:marBottom w:val="0"/>
      <w:divBdr>
        <w:top w:val="none" w:sz="0" w:space="0" w:color="auto"/>
        <w:left w:val="none" w:sz="0" w:space="0" w:color="auto"/>
        <w:bottom w:val="none" w:sz="0" w:space="0" w:color="auto"/>
        <w:right w:val="none" w:sz="0" w:space="0" w:color="auto"/>
      </w:divBdr>
    </w:div>
    <w:div w:id="1490713822">
      <w:bodyDiv w:val="1"/>
      <w:marLeft w:val="0"/>
      <w:marRight w:val="0"/>
      <w:marTop w:val="0"/>
      <w:marBottom w:val="0"/>
      <w:divBdr>
        <w:top w:val="none" w:sz="0" w:space="0" w:color="auto"/>
        <w:left w:val="none" w:sz="0" w:space="0" w:color="auto"/>
        <w:bottom w:val="none" w:sz="0" w:space="0" w:color="auto"/>
        <w:right w:val="none" w:sz="0" w:space="0" w:color="auto"/>
      </w:divBdr>
    </w:div>
    <w:div w:id="1670909640">
      <w:bodyDiv w:val="1"/>
      <w:marLeft w:val="0"/>
      <w:marRight w:val="0"/>
      <w:marTop w:val="0"/>
      <w:marBottom w:val="0"/>
      <w:divBdr>
        <w:top w:val="none" w:sz="0" w:space="0" w:color="auto"/>
        <w:left w:val="none" w:sz="0" w:space="0" w:color="auto"/>
        <w:bottom w:val="none" w:sz="0" w:space="0" w:color="auto"/>
        <w:right w:val="none" w:sz="0" w:space="0" w:color="auto"/>
      </w:divBdr>
    </w:div>
    <w:div w:id="1976523373">
      <w:bodyDiv w:val="1"/>
      <w:marLeft w:val="0"/>
      <w:marRight w:val="0"/>
      <w:marTop w:val="0"/>
      <w:marBottom w:val="0"/>
      <w:divBdr>
        <w:top w:val="none" w:sz="0" w:space="0" w:color="auto"/>
        <w:left w:val="none" w:sz="0" w:space="0" w:color="auto"/>
        <w:bottom w:val="none" w:sz="0" w:space="0" w:color="auto"/>
        <w:right w:val="none" w:sz="0" w:space="0" w:color="auto"/>
      </w:divBdr>
    </w:div>
    <w:div w:id="2004702180">
      <w:bodyDiv w:val="1"/>
      <w:marLeft w:val="0"/>
      <w:marRight w:val="0"/>
      <w:marTop w:val="0"/>
      <w:marBottom w:val="0"/>
      <w:divBdr>
        <w:top w:val="none" w:sz="0" w:space="0" w:color="auto"/>
        <w:left w:val="none" w:sz="0" w:space="0" w:color="auto"/>
        <w:bottom w:val="none" w:sz="0" w:space="0" w:color="auto"/>
        <w:right w:val="none" w:sz="0" w:space="0" w:color="auto"/>
      </w:divBdr>
    </w:div>
    <w:div w:id="21408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0F6C0DD4F1F544B657A0DE66F13327" ma:contentTypeVersion="7" ma:contentTypeDescription="Een nieuw document maken." ma:contentTypeScope="" ma:versionID="cc9423890a91eca4141158aa05b261ee">
  <xsd:schema xmlns:xsd="http://www.w3.org/2001/XMLSchema" xmlns:xs="http://www.w3.org/2001/XMLSchema" xmlns:p="http://schemas.microsoft.com/office/2006/metadata/properties" xmlns:ns2="017e8706-ca54-427b-9a51-d29ae0ca7685" targetNamespace="http://schemas.microsoft.com/office/2006/metadata/properties" ma:root="true" ma:fieldsID="199addc53b48a996de6f7faab07ca498" ns2:_="">
    <xsd:import namespace="017e8706-ca54-427b-9a51-d29ae0ca76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e8706-ca54-427b-9a51-d29ae0ca7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E228B-5EB1-4701-BB32-EE2DC0500659}">
  <ds:schemaRefs>
    <ds:schemaRef ds:uri="http://schemas.openxmlformats.org/officeDocument/2006/bibliography"/>
  </ds:schemaRefs>
</ds:datastoreItem>
</file>

<file path=customXml/itemProps2.xml><?xml version="1.0" encoding="utf-8"?>
<ds:datastoreItem xmlns:ds="http://schemas.openxmlformats.org/officeDocument/2006/customXml" ds:itemID="{1701630A-36BF-4FC4-A5F4-916A584D3CF7}">
  <ds:schemaRefs>
    <ds:schemaRef ds:uri="http://schemas.microsoft.com/sharepoint/v3/contenttype/forms"/>
  </ds:schemaRefs>
</ds:datastoreItem>
</file>

<file path=customXml/itemProps3.xml><?xml version="1.0" encoding="utf-8"?>
<ds:datastoreItem xmlns:ds="http://schemas.openxmlformats.org/officeDocument/2006/customXml" ds:itemID="{1BE77C2B-2B9F-43ED-87AC-6A41140250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C5B3FE-73F6-4517-929F-2710058AB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e8706-ca54-427b-9a51-d29ae0ca7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6524</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Carolus (SPF Santé Publique - FOD Volksgezondheid)</dc:creator>
  <cp:keywords/>
  <dc:description/>
  <cp:lastModifiedBy>Marly Nick</cp:lastModifiedBy>
  <cp:revision>7</cp:revision>
  <dcterms:created xsi:type="dcterms:W3CDTF">2023-05-25T07:04:00Z</dcterms:created>
  <dcterms:modified xsi:type="dcterms:W3CDTF">2023-05-26T07:51:00Z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0x010100C40F6C0DD4F1F544B657A0DE66F13327</vt:lpwstr>
  </property>
</Properties>
</file>