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649D" w14:textId="25EDFD0E" w:rsidR="00DA3EF2" w:rsidRPr="00365CC3" w:rsidRDefault="007C77E5" w:rsidP="00DA3EF2">
      <w:pPr>
        <w:jc w:val="center"/>
        <w:rPr>
          <w:lang w:val="fr-BE"/>
        </w:rPr>
        <w:sectPr w:rsidR="00DA3EF2" w:rsidRPr="00365CC3" w:rsidSect="00571EEA">
          <w:headerReference w:type="default" r:id="rId11"/>
          <w:footerReference w:type="default" r:id="rId12"/>
          <w:pgSz w:w="11906" w:h="16838" w:code="9"/>
          <w:pgMar w:top="0" w:right="0" w:bottom="0" w:left="0" w:header="0" w:footer="0" w:gutter="0"/>
          <w:cols w:space="708"/>
          <w:docGrid w:linePitch="360"/>
        </w:sectPr>
      </w:pPr>
      <w:r w:rsidRPr="00365CC3">
        <w:rPr>
          <w:noProof/>
          <w:lang w:val="fr-BE" w:eastAsia="fr-BE"/>
        </w:rPr>
        <w:drawing>
          <wp:anchor distT="0" distB="0" distL="114300" distR="114300" simplePos="0" relativeHeight="251658240" behindDoc="0" locked="0" layoutInCell="1" allowOverlap="1" wp14:anchorId="728523C1" wp14:editId="29123430">
            <wp:simplePos x="0" y="0"/>
            <wp:positionH relativeFrom="margin">
              <wp:posOffset>0</wp:posOffset>
            </wp:positionH>
            <wp:positionV relativeFrom="margin">
              <wp:posOffset>2895600</wp:posOffset>
            </wp:positionV>
            <wp:extent cx="7583805" cy="5110444"/>
            <wp:effectExtent l="0" t="0" r="0" b="0"/>
            <wp:wrapSquare wrapText="bothSides"/>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3">
                      <a:extLst>
                        <a:ext uri="{28A0092B-C50C-407E-A947-70E740481C1C}">
                          <a14:useLocalDpi xmlns:a14="http://schemas.microsoft.com/office/drawing/2010/main" val="0"/>
                        </a:ext>
                      </a:extLst>
                    </a:blip>
                    <a:stretch>
                      <a:fillRect/>
                    </a:stretch>
                  </pic:blipFill>
                  <pic:spPr>
                    <a:xfrm>
                      <a:off x="0" y="0"/>
                      <a:ext cx="7590028" cy="5114637"/>
                    </a:xfrm>
                    <a:prstGeom prst="rect">
                      <a:avLst/>
                    </a:prstGeom>
                  </pic:spPr>
                </pic:pic>
              </a:graphicData>
            </a:graphic>
            <wp14:sizeRelH relativeFrom="margin">
              <wp14:pctWidth>0</wp14:pctWidth>
            </wp14:sizeRelH>
            <wp14:sizeRelV relativeFrom="margin">
              <wp14:pctHeight>0</wp14:pctHeight>
            </wp14:sizeRelV>
          </wp:anchor>
        </w:drawing>
      </w:r>
      <w:r w:rsidR="00102D0D" w:rsidRPr="00365CC3">
        <w:rPr>
          <w:noProof/>
          <w:lang w:val="fr-BE" w:eastAsia="fr-BE"/>
        </w:rPr>
        <mc:AlternateContent>
          <mc:Choice Requires="wps">
            <w:drawing>
              <wp:anchor distT="45720" distB="45720" distL="114300" distR="114300" simplePos="0" relativeHeight="251658245" behindDoc="0" locked="0" layoutInCell="1" allowOverlap="1" wp14:anchorId="78485C08" wp14:editId="3611C9B8">
                <wp:simplePos x="0" y="0"/>
                <wp:positionH relativeFrom="margin">
                  <wp:posOffset>4143375</wp:posOffset>
                </wp:positionH>
                <wp:positionV relativeFrom="margin">
                  <wp:posOffset>371475</wp:posOffset>
                </wp:positionV>
                <wp:extent cx="3413760" cy="1311275"/>
                <wp:effectExtent l="0" t="0" r="0" b="31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311275"/>
                        </a:xfrm>
                        <a:prstGeom prst="rect">
                          <a:avLst/>
                        </a:prstGeom>
                        <a:noFill/>
                        <a:ln w="9525">
                          <a:noFill/>
                          <a:miter lim="800000"/>
                          <a:headEnd/>
                          <a:tailEnd/>
                        </a:ln>
                      </wps:spPr>
                      <wps:txbx>
                        <w:txbxContent>
                          <w:p w14:paraId="78B93F9E" w14:textId="1F7E2C9E" w:rsidR="00DD000A" w:rsidRPr="00693D61" w:rsidRDefault="00DD000A" w:rsidP="00102D0D">
                            <w:pPr>
                              <w:pStyle w:val="Titre"/>
                              <w:rPr>
                                <w:lang w:val="fr-BE"/>
                              </w:rPr>
                            </w:pPr>
                            <w:r>
                              <w:rPr>
                                <w:bCs/>
                                <w:sz w:val="40"/>
                                <w:szCs w:val="40"/>
                                <w:lang w:val="fr-BE"/>
                              </w:rPr>
                              <w:t xml:space="preserve">Consommation </w:t>
                            </w:r>
                            <w:r w:rsidRPr="00693D61">
                              <w:rPr>
                                <w:bCs/>
                                <w:sz w:val="40"/>
                                <w:szCs w:val="40"/>
                                <w:lang w:val="fr-BE"/>
                              </w:rPr>
                              <w:t>de médicaments en maison de repos: une analyse longitudinale</w:t>
                            </w:r>
                          </w:p>
                          <w:p w14:paraId="7BA03F56" w14:textId="078AF3D7" w:rsidR="00DD000A" w:rsidRPr="00102D0D" w:rsidRDefault="00DD000A" w:rsidP="00D84774">
                            <w:pPr>
                              <w:pStyle w:val="Titre"/>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85C08" id="_x0000_t202" coordsize="21600,21600" o:spt="202" path="m,l,21600r21600,l21600,xe">
                <v:stroke joinstyle="miter"/>
                <v:path gradientshapeok="t" o:connecttype="rect"/>
              </v:shapetype>
              <v:shape id="Tekstvak 2" o:spid="_x0000_s1026" type="#_x0000_t202" style="position:absolute;left:0;text-align:left;margin-left:326.25pt;margin-top:29.25pt;width:268.8pt;height:103.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" filled="f" stroked="f">
                <v:textbox>
                  <w:txbxContent>
                    <w:p w14:paraId="78B93F9E" w14:textId="1F7E2C9E" w:rsidR="00DD000A" w:rsidRPr="00693D61" w:rsidRDefault="00DD000A" w:rsidP="00102D0D">
                      <w:pPr>
                        <w:pStyle w:val="Titre"/>
                        <w:rPr>
                          <w:lang w:val="fr-BE"/>
                        </w:rPr>
                      </w:pPr>
                      <w:r>
                        <w:rPr>
                          <w:bCs/>
                          <w:sz w:val="40"/>
                          <w:szCs w:val="40"/>
                          <w:lang w:val="fr-BE"/>
                        </w:rPr>
                        <w:t xml:space="preserve">Consommation </w:t>
                      </w:r>
                      <w:r w:rsidRPr="00693D61">
                        <w:rPr>
                          <w:bCs/>
                          <w:sz w:val="40"/>
                          <w:szCs w:val="40"/>
                          <w:lang w:val="fr-BE"/>
                        </w:rPr>
                        <w:t>de médicaments en maison de repos: une analyse longitudinale</w:t>
                      </w:r>
                    </w:p>
                    <w:p w14:paraId="7BA03F56" w14:textId="078AF3D7" w:rsidR="00DD000A" w:rsidRPr="00102D0D" w:rsidRDefault="00DD000A" w:rsidP="00D84774">
                      <w:pPr>
                        <w:pStyle w:val="Titre"/>
                        <w:rPr>
                          <w:lang w:val="fr-BE"/>
                        </w:rPr>
                      </w:pPr>
                    </w:p>
                  </w:txbxContent>
                </v:textbox>
                <w10:wrap type="square" anchorx="margin" anchory="margin"/>
              </v:shape>
            </w:pict>
          </mc:Fallback>
        </mc:AlternateContent>
      </w:r>
      <w:r w:rsidR="006A2B5F" w:rsidRPr="00365CC3">
        <w:rPr>
          <w:noProof/>
          <w:lang w:val="fr-BE" w:eastAsia="fr-BE"/>
        </w:rPr>
        <mc:AlternateContent>
          <mc:Choice Requires="wps">
            <w:drawing>
              <wp:anchor distT="45720" distB="45720" distL="114300" distR="114300" simplePos="0" relativeHeight="251658246" behindDoc="0" locked="0" layoutInCell="1" allowOverlap="1" wp14:anchorId="08268DED" wp14:editId="4A1F6482">
                <wp:simplePos x="0" y="0"/>
                <wp:positionH relativeFrom="margin">
                  <wp:posOffset>501650</wp:posOffset>
                </wp:positionH>
                <wp:positionV relativeFrom="margin">
                  <wp:posOffset>7899400</wp:posOffset>
                </wp:positionV>
                <wp:extent cx="4305300" cy="685800"/>
                <wp:effectExtent l="0" t="0" r="0"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85800"/>
                        </a:xfrm>
                        <a:prstGeom prst="rect">
                          <a:avLst/>
                        </a:prstGeom>
                        <a:noFill/>
                        <a:ln w="9525">
                          <a:noFill/>
                          <a:miter lim="800000"/>
                          <a:headEnd/>
                          <a:tailEnd/>
                        </a:ln>
                      </wps:spPr>
                      <wps:txbx>
                        <w:txbxContent>
                          <w:p w14:paraId="53D5C6AD" w14:textId="77777777" w:rsidR="00DD000A" w:rsidRPr="00693D61" w:rsidRDefault="00DD000A" w:rsidP="00102D0D">
                            <w:pPr>
                              <w:pStyle w:val="Sous-titre"/>
                              <w:rPr>
                                <w:b w:val="0"/>
                                <w:lang w:val="fr-BE"/>
                              </w:rPr>
                            </w:pPr>
                            <w:r w:rsidRPr="00693D61">
                              <w:rPr>
                                <w:lang w:val="fr-BE"/>
                              </w:rPr>
                              <w:t>Une actualisation de l’étude de 2013</w:t>
                            </w:r>
                          </w:p>
                          <w:p w14:paraId="2C4F4C5E" w14:textId="15A7723A" w:rsidR="00DD000A" w:rsidRPr="00102D0D" w:rsidRDefault="00DD000A" w:rsidP="00264671">
                            <w:pPr>
                              <w:pStyle w:val="Sous-titre"/>
                              <w:rPr>
                                <w:b w:val="0"/>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68DED" id="_x0000_s1027" type="#_x0000_t202" style="position:absolute;left:0;text-align:left;margin-left:39.5pt;margin-top:622pt;width:339pt;height:5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" filled="f" stroked="f">
                <v:textbox>
                  <w:txbxContent>
                    <w:p w14:paraId="53D5C6AD" w14:textId="77777777" w:rsidR="00DD000A" w:rsidRPr="00693D61" w:rsidRDefault="00DD000A" w:rsidP="00102D0D">
                      <w:pPr>
                        <w:pStyle w:val="Sous-titre"/>
                        <w:rPr>
                          <w:b w:val="0"/>
                          <w:lang w:val="fr-BE"/>
                        </w:rPr>
                      </w:pPr>
                      <w:r w:rsidRPr="00693D61">
                        <w:rPr>
                          <w:lang w:val="fr-BE"/>
                        </w:rPr>
                        <w:t>Une actualisation de l’étude de 2013</w:t>
                      </w:r>
                    </w:p>
                    <w:p w14:paraId="2C4F4C5E" w14:textId="15A7723A" w:rsidR="00DD000A" w:rsidRPr="00102D0D" w:rsidRDefault="00DD000A" w:rsidP="00264671">
                      <w:pPr>
                        <w:pStyle w:val="Sous-titre"/>
                        <w:rPr>
                          <w:b w:val="0"/>
                          <w:lang w:val="fr-BE"/>
                        </w:rPr>
                      </w:pPr>
                    </w:p>
                  </w:txbxContent>
                </v:textbox>
                <w10:wrap type="square" anchorx="margin" anchory="margin"/>
              </v:shape>
            </w:pict>
          </mc:Fallback>
        </mc:AlternateContent>
      </w:r>
      <w:r w:rsidR="006A2B5F" w:rsidRPr="00365CC3">
        <w:rPr>
          <w:noProof/>
          <w:lang w:val="fr-BE" w:eastAsia="fr-BE"/>
        </w:rPr>
        <mc:AlternateContent>
          <mc:Choice Requires="wps">
            <w:drawing>
              <wp:anchor distT="45720" distB="45720" distL="114300" distR="114300" simplePos="0" relativeHeight="251658247" behindDoc="0" locked="0" layoutInCell="1" allowOverlap="1" wp14:anchorId="315FBDE6" wp14:editId="4104DEE5">
                <wp:simplePos x="0" y="0"/>
                <wp:positionH relativeFrom="margin">
                  <wp:posOffset>501650</wp:posOffset>
                </wp:positionH>
                <wp:positionV relativeFrom="margin">
                  <wp:posOffset>8610600</wp:posOffset>
                </wp:positionV>
                <wp:extent cx="4171950" cy="927100"/>
                <wp:effectExtent l="0" t="0" r="0" b="63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27100"/>
                        </a:xfrm>
                        <a:prstGeom prst="rect">
                          <a:avLst/>
                        </a:prstGeom>
                        <a:noFill/>
                        <a:ln w="9525">
                          <a:noFill/>
                          <a:miter lim="800000"/>
                          <a:headEnd/>
                          <a:tailEnd/>
                        </a:ln>
                      </wps:spPr>
                      <wps:txbx>
                        <w:txbxContent>
                          <w:p w14:paraId="7C0DE381" w14:textId="682814CE" w:rsidR="00DD000A" w:rsidRPr="005A2CFF" w:rsidRDefault="00DD000A" w:rsidP="00264671">
                            <w:pPr>
                              <w:rPr>
                                <w:lang w:val="fr-BE"/>
                              </w:rPr>
                            </w:pPr>
                            <w:r w:rsidRPr="005A2CFF">
                              <w:rPr>
                                <w:lang w:val="fr-BE"/>
                              </w:rPr>
                              <w:t>Didier Willaert, Leila Maron &amp; Jérôme</w:t>
                            </w:r>
                            <w:r>
                              <w:rPr>
                                <w:lang w:val="fr-BE"/>
                              </w:rPr>
                              <w:t xml:space="preserve"> Vrancken</w:t>
                            </w:r>
                          </w:p>
                          <w:p w14:paraId="3BDDB523" w14:textId="102CF024" w:rsidR="00DD000A" w:rsidRPr="006A2B5F" w:rsidRDefault="00115E4F">
                            <w:pPr>
                              <w:rPr>
                                <w:rStyle w:val="lev"/>
                              </w:rPr>
                            </w:pPr>
                            <w:r>
                              <w:rPr>
                                <w:rStyle w:val="lev"/>
                              </w:rPr>
                              <w:t>Juin</w:t>
                            </w:r>
                            <w:r w:rsidR="00DD000A" w:rsidRPr="006A2B5F">
                              <w:rPr>
                                <w:rStyle w:val="lev"/>
                              </w:rPr>
                              <w:t xml:space="preserve"> 202</w:t>
                            </w:r>
                            <w:r w:rsidR="00DD000A">
                              <w:rPr>
                                <w:rStyle w:val="lev"/>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BDE6" id="_x0000_s1028" type="#_x0000_t202" style="position:absolute;left:0;text-align:left;margin-left:39.5pt;margin-top:678pt;width:328.5pt;height:7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" filled="f" stroked="f">
                <v:textbox>
                  <w:txbxContent>
                    <w:p w14:paraId="7C0DE381" w14:textId="682814CE" w:rsidR="00DD000A" w:rsidRPr="005A2CFF" w:rsidRDefault="00DD000A" w:rsidP="00264671">
                      <w:pPr>
                        <w:rPr>
                          <w:lang w:val="fr-BE"/>
                        </w:rPr>
                      </w:pPr>
                      <w:r w:rsidRPr="005A2CFF">
                        <w:rPr>
                          <w:lang w:val="fr-BE"/>
                        </w:rPr>
                        <w:t>Didier Willaert, Leila Maron &amp; Jérôme</w:t>
                      </w:r>
                      <w:r>
                        <w:rPr>
                          <w:lang w:val="fr-BE"/>
                        </w:rPr>
                        <w:t xml:space="preserve"> Vrancken</w:t>
                      </w:r>
                    </w:p>
                    <w:p w14:paraId="3BDDB523" w14:textId="102CF024" w:rsidR="00DD000A" w:rsidRPr="006A2B5F" w:rsidRDefault="00115E4F">
                      <w:pPr>
                        <w:rPr>
                          <w:rStyle w:val="lev"/>
                        </w:rPr>
                      </w:pPr>
                      <w:r>
                        <w:rPr>
                          <w:rStyle w:val="lev"/>
                        </w:rPr>
                        <w:t>Juin</w:t>
                      </w:r>
                      <w:r w:rsidR="00DD000A" w:rsidRPr="006A2B5F">
                        <w:rPr>
                          <w:rStyle w:val="lev"/>
                        </w:rPr>
                        <w:t xml:space="preserve"> 202</w:t>
                      </w:r>
                      <w:r w:rsidR="00DD000A">
                        <w:rPr>
                          <w:rStyle w:val="lev"/>
                        </w:rPr>
                        <w:t>3</w:t>
                      </w:r>
                    </w:p>
                  </w:txbxContent>
                </v:textbox>
                <w10:wrap type="square" anchorx="margin" anchory="margin"/>
              </v:shape>
            </w:pict>
          </mc:Fallback>
        </mc:AlternateContent>
      </w:r>
      <w:r w:rsidR="006A2B5F" w:rsidRPr="00365CC3">
        <w:rPr>
          <w:noProof/>
          <w:lang w:val="fr-BE" w:eastAsia="fr-BE"/>
        </w:rPr>
        <w:drawing>
          <wp:anchor distT="0" distB="0" distL="114300" distR="114300" simplePos="0" relativeHeight="251658244" behindDoc="0" locked="0" layoutInCell="1" allowOverlap="1" wp14:anchorId="72E7D5D3" wp14:editId="4302E94D">
            <wp:simplePos x="0" y="0"/>
            <wp:positionH relativeFrom="margin">
              <wp:posOffset>5096510</wp:posOffset>
            </wp:positionH>
            <wp:positionV relativeFrom="margin">
              <wp:posOffset>9483090</wp:posOffset>
            </wp:positionV>
            <wp:extent cx="1907540" cy="76644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7540" cy="766445"/>
                    </a:xfrm>
                    <a:prstGeom prst="rect">
                      <a:avLst/>
                    </a:prstGeom>
                  </pic:spPr>
                </pic:pic>
              </a:graphicData>
            </a:graphic>
            <wp14:sizeRelH relativeFrom="margin">
              <wp14:pctWidth>0</wp14:pctWidth>
            </wp14:sizeRelH>
            <wp14:sizeRelV relativeFrom="margin">
              <wp14:pctHeight>0</wp14:pctHeight>
            </wp14:sizeRelV>
          </wp:anchor>
        </w:drawing>
      </w:r>
      <w:r w:rsidR="006A2B5F" w:rsidRPr="00365CC3">
        <w:rPr>
          <w:noProof/>
          <w:lang w:val="fr-BE" w:eastAsia="fr-BE"/>
        </w:rPr>
        <w:drawing>
          <wp:anchor distT="0" distB="0" distL="114300" distR="114300" simplePos="0" relativeHeight="251658242" behindDoc="0" locked="0" layoutInCell="1" allowOverlap="1" wp14:anchorId="61BD0D4E" wp14:editId="2CB45D7A">
            <wp:simplePos x="0" y="0"/>
            <wp:positionH relativeFrom="margin">
              <wp:posOffset>-19050</wp:posOffset>
            </wp:positionH>
            <wp:positionV relativeFrom="margin">
              <wp:posOffset>6882765</wp:posOffset>
            </wp:positionV>
            <wp:extent cx="7602855" cy="507047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02855" cy="5070475"/>
                    </a:xfrm>
                    <a:prstGeom prst="rect">
                      <a:avLst/>
                    </a:prstGeom>
                  </pic:spPr>
                </pic:pic>
              </a:graphicData>
            </a:graphic>
            <wp14:sizeRelH relativeFrom="margin">
              <wp14:pctWidth>0</wp14:pctWidth>
            </wp14:sizeRelH>
            <wp14:sizeRelV relativeFrom="margin">
              <wp14:pctHeight>0</wp14:pctHeight>
            </wp14:sizeRelV>
          </wp:anchor>
        </w:drawing>
      </w:r>
      <w:r w:rsidR="00B44B66" w:rsidRPr="00365CC3">
        <w:rPr>
          <w:noProof/>
          <w:lang w:val="fr-BE" w:eastAsia="fr-BE"/>
        </w:rPr>
        <w:drawing>
          <wp:anchor distT="0" distB="0" distL="114300" distR="114300" simplePos="0" relativeHeight="251658248" behindDoc="0" locked="0" layoutInCell="1" allowOverlap="1" wp14:anchorId="1E72D9A1" wp14:editId="3713B3D4">
            <wp:simplePos x="0" y="0"/>
            <wp:positionH relativeFrom="margin">
              <wp:posOffset>482600</wp:posOffset>
            </wp:positionH>
            <wp:positionV relativeFrom="margin">
              <wp:posOffset>9676765</wp:posOffset>
            </wp:positionV>
            <wp:extent cx="1936750" cy="386715"/>
            <wp:effectExtent l="0" t="0" r="635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6750" cy="386715"/>
                    </a:xfrm>
                    <a:prstGeom prst="rect">
                      <a:avLst/>
                    </a:prstGeom>
                  </pic:spPr>
                </pic:pic>
              </a:graphicData>
            </a:graphic>
            <wp14:sizeRelH relativeFrom="margin">
              <wp14:pctWidth>0</wp14:pctWidth>
            </wp14:sizeRelH>
            <wp14:sizeRelV relativeFrom="margin">
              <wp14:pctHeight>0</wp14:pctHeight>
            </wp14:sizeRelV>
          </wp:anchor>
        </w:drawing>
      </w:r>
      <w:r w:rsidR="00DA3EF2" w:rsidRPr="00365CC3">
        <w:rPr>
          <w:noProof/>
          <w:lang w:val="fr-BE" w:eastAsia="fr-BE"/>
        </w:rPr>
        <w:drawing>
          <wp:anchor distT="0" distB="0" distL="114300" distR="114300" simplePos="0" relativeHeight="251658243" behindDoc="0" locked="0" layoutInCell="1" allowOverlap="1" wp14:anchorId="7B5EEDD2" wp14:editId="3014421C">
            <wp:simplePos x="0" y="0"/>
            <wp:positionH relativeFrom="margin">
              <wp:posOffset>3705101</wp:posOffset>
            </wp:positionH>
            <wp:positionV relativeFrom="margin">
              <wp:posOffset>11875</wp:posOffset>
            </wp:positionV>
            <wp:extent cx="3852455" cy="2267585"/>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7">
                      <a:extLst>
                        <a:ext uri="{28A0092B-C50C-407E-A947-70E740481C1C}">
                          <a14:useLocalDpi xmlns:a14="http://schemas.microsoft.com/office/drawing/2010/main" val="0"/>
                        </a:ext>
                      </a:extLst>
                    </a:blip>
                    <a:stretch>
                      <a:fillRect/>
                    </a:stretch>
                  </pic:blipFill>
                  <pic:spPr>
                    <a:xfrm>
                      <a:off x="0" y="0"/>
                      <a:ext cx="3852455" cy="2267585"/>
                    </a:xfrm>
                    <a:prstGeom prst="rect">
                      <a:avLst/>
                    </a:prstGeom>
                  </pic:spPr>
                </pic:pic>
              </a:graphicData>
            </a:graphic>
          </wp:anchor>
        </w:drawing>
      </w:r>
    </w:p>
    <w:sdt>
      <w:sdtPr>
        <w:rPr>
          <w:sz w:val="20"/>
          <w:lang w:val="fr-BE"/>
        </w:rPr>
        <w:id w:val="1920594395"/>
        <w:docPartObj>
          <w:docPartGallery w:val="Table of Contents"/>
          <w:docPartUnique/>
        </w:docPartObj>
      </w:sdtPr>
      <w:sdtEndPr>
        <w:rPr>
          <w:b/>
          <w:bCs/>
        </w:rPr>
      </w:sdtEndPr>
      <w:sdtContent>
        <w:p w14:paraId="3A8CE222" w14:textId="71958405" w:rsidR="006324E9" w:rsidRPr="00365CC3" w:rsidRDefault="0099585B" w:rsidP="00A328F3">
          <w:pPr>
            <w:pStyle w:val="Sansinterligne"/>
            <w:rPr>
              <w:color w:val="D90030"/>
              <w:sz w:val="40"/>
              <w:szCs w:val="40"/>
              <w:lang w:val="fr-BE"/>
            </w:rPr>
          </w:pPr>
          <w:r w:rsidRPr="00365CC3">
            <w:rPr>
              <w:color w:val="D90030"/>
              <w:sz w:val="40"/>
              <w:szCs w:val="40"/>
              <w:lang w:val="fr-BE"/>
            </w:rPr>
            <w:t>Table des matières</w:t>
          </w:r>
        </w:p>
        <w:p w14:paraId="49CBF902" w14:textId="77777777" w:rsidR="00A328F3" w:rsidRPr="00365CC3" w:rsidRDefault="00A328F3" w:rsidP="00A83D71">
          <w:pPr>
            <w:pStyle w:val="TM1"/>
            <w:rPr>
              <w:lang w:val="fr-BE"/>
            </w:rPr>
          </w:pPr>
        </w:p>
        <w:p w14:paraId="42330089" w14:textId="77777777" w:rsidR="00392A5E" w:rsidRDefault="006324E9">
          <w:pPr>
            <w:pStyle w:val="TM1"/>
            <w:rPr>
              <w:rFonts w:asciiTheme="minorHAnsi" w:eastAsiaTheme="minorEastAsia" w:hAnsiTheme="minorHAnsi"/>
              <w:color w:val="auto"/>
              <w:sz w:val="22"/>
              <w:szCs w:val="22"/>
              <w:lang w:val="fr-BE" w:eastAsia="fr-BE"/>
            </w:rPr>
          </w:pPr>
          <w:r w:rsidRPr="00365CC3">
            <w:rPr>
              <w:lang w:val="fr-BE"/>
            </w:rPr>
            <w:fldChar w:fldCharType="begin"/>
          </w:r>
          <w:r w:rsidRPr="00365CC3">
            <w:rPr>
              <w:lang w:val="fr-BE"/>
            </w:rPr>
            <w:instrText xml:space="preserve"> TOC \o "1-3" \h \z \u </w:instrText>
          </w:r>
          <w:r w:rsidRPr="00365CC3">
            <w:rPr>
              <w:lang w:val="fr-BE"/>
            </w:rPr>
            <w:fldChar w:fldCharType="separate"/>
          </w:r>
          <w:hyperlink w:anchor="_Toc130195917" w:history="1">
            <w:r w:rsidR="00392A5E" w:rsidRPr="00991839">
              <w:rPr>
                <w:rStyle w:val="Lienhypertexte"/>
                <w:lang w:val="fr-BE"/>
              </w:rPr>
              <w:t>1</w:t>
            </w:r>
            <w:r w:rsidR="00392A5E">
              <w:rPr>
                <w:rFonts w:asciiTheme="minorHAnsi" w:eastAsiaTheme="minorEastAsia" w:hAnsiTheme="minorHAnsi"/>
                <w:color w:val="auto"/>
                <w:sz w:val="22"/>
                <w:szCs w:val="22"/>
                <w:lang w:val="fr-BE" w:eastAsia="fr-BE"/>
              </w:rPr>
              <w:tab/>
            </w:r>
            <w:r w:rsidR="00392A5E" w:rsidRPr="00991839">
              <w:rPr>
                <w:rStyle w:val="Lienhypertexte"/>
                <w:lang w:val="fr-BE"/>
              </w:rPr>
              <w:t>Introduction</w:t>
            </w:r>
            <w:r w:rsidR="00392A5E">
              <w:rPr>
                <w:webHidden/>
              </w:rPr>
              <w:tab/>
            </w:r>
            <w:r w:rsidR="00392A5E">
              <w:rPr>
                <w:webHidden/>
              </w:rPr>
              <w:fldChar w:fldCharType="begin"/>
            </w:r>
            <w:r w:rsidR="00392A5E">
              <w:rPr>
                <w:webHidden/>
              </w:rPr>
              <w:instrText xml:space="preserve"> PAGEREF _Toc130195917 \h </w:instrText>
            </w:r>
            <w:r w:rsidR="00392A5E">
              <w:rPr>
                <w:webHidden/>
              </w:rPr>
            </w:r>
            <w:r w:rsidR="00392A5E">
              <w:rPr>
                <w:webHidden/>
              </w:rPr>
              <w:fldChar w:fldCharType="separate"/>
            </w:r>
            <w:r w:rsidR="00D83499">
              <w:rPr>
                <w:webHidden/>
              </w:rPr>
              <w:t>4</w:t>
            </w:r>
            <w:r w:rsidR="00392A5E">
              <w:rPr>
                <w:webHidden/>
              </w:rPr>
              <w:fldChar w:fldCharType="end"/>
            </w:r>
          </w:hyperlink>
        </w:p>
        <w:p w14:paraId="39A86727" w14:textId="77777777" w:rsidR="00392A5E" w:rsidRDefault="00000000">
          <w:pPr>
            <w:pStyle w:val="TM1"/>
            <w:rPr>
              <w:rFonts w:asciiTheme="minorHAnsi" w:eastAsiaTheme="minorEastAsia" w:hAnsiTheme="minorHAnsi"/>
              <w:color w:val="auto"/>
              <w:sz w:val="22"/>
              <w:szCs w:val="22"/>
              <w:lang w:val="fr-BE" w:eastAsia="fr-BE"/>
            </w:rPr>
          </w:pPr>
          <w:hyperlink w:anchor="_Toc130195918" w:history="1">
            <w:r w:rsidR="00392A5E" w:rsidRPr="00991839">
              <w:rPr>
                <w:rStyle w:val="Lienhypertexte"/>
                <w:lang w:val="fr-BE"/>
              </w:rPr>
              <w:t>2</w:t>
            </w:r>
            <w:r w:rsidR="00392A5E">
              <w:rPr>
                <w:rFonts w:asciiTheme="minorHAnsi" w:eastAsiaTheme="minorEastAsia" w:hAnsiTheme="minorHAnsi"/>
                <w:color w:val="auto"/>
                <w:sz w:val="22"/>
                <w:szCs w:val="22"/>
                <w:lang w:val="fr-BE" w:eastAsia="fr-BE"/>
              </w:rPr>
              <w:tab/>
            </w:r>
            <w:r w:rsidR="00392A5E" w:rsidRPr="00991839">
              <w:rPr>
                <w:rStyle w:val="Lienhypertexte"/>
                <w:lang w:val="fr-BE"/>
              </w:rPr>
              <w:t>Données &amp; méthodologie</w:t>
            </w:r>
            <w:r w:rsidR="00392A5E">
              <w:rPr>
                <w:webHidden/>
              </w:rPr>
              <w:tab/>
            </w:r>
            <w:r w:rsidR="00392A5E">
              <w:rPr>
                <w:webHidden/>
              </w:rPr>
              <w:fldChar w:fldCharType="begin"/>
            </w:r>
            <w:r w:rsidR="00392A5E">
              <w:rPr>
                <w:webHidden/>
              </w:rPr>
              <w:instrText xml:space="preserve"> PAGEREF _Toc130195918 \h </w:instrText>
            </w:r>
            <w:r w:rsidR="00392A5E">
              <w:rPr>
                <w:webHidden/>
              </w:rPr>
            </w:r>
            <w:r w:rsidR="00392A5E">
              <w:rPr>
                <w:webHidden/>
              </w:rPr>
              <w:fldChar w:fldCharType="separate"/>
            </w:r>
            <w:r w:rsidR="00D83499">
              <w:rPr>
                <w:webHidden/>
              </w:rPr>
              <w:t>5</w:t>
            </w:r>
            <w:r w:rsidR="00392A5E">
              <w:rPr>
                <w:webHidden/>
              </w:rPr>
              <w:fldChar w:fldCharType="end"/>
            </w:r>
          </w:hyperlink>
        </w:p>
        <w:p w14:paraId="0C8A25C7" w14:textId="77777777" w:rsidR="00392A5E" w:rsidRDefault="00000000">
          <w:pPr>
            <w:pStyle w:val="TM2"/>
            <w:tabs>
              <w:tab w:val="left" w:pos="880"/>
              <w:tab w:val="right" w:leader="dot" w:pos="9016"/>
            </w:tabs>
            <w:rPr>
              <w:rFonts w:asciiTheme="minorHAnsi" w:eastAsiaTheme="minorEastAsia" w:hAnsiTheme="minorHAnsi"/>
              <w:noProof/>
              <w:sz w:val="22"/>
              <w:lang w:val="fr-BE" w:eastAsia="fr-BE"/>
            </w:rPr>
          </w:pPr>
          <w:hyperlink w:anchor="_Toc130195919" w:history="1">
            <w:r w:rsidR="00392A5E" w:rsidRPr="00991839">
              <w:rPr>
                <w:rStyle w:val="Lienhypertexte"/>
                <w:noProof/>
                <w:lang w:val="fr-BE"/>
              </w:rPr>
              <w:t>2.1</w:t>
            </w:r>
            <w:r w:rsidR="00392A5E">
              <w:rPr>
                <w:rFonts w:asciiTheme="minorHAnsi" w:eastAsiaTheme="minorEastAsia" w:hAnsiTheme="minorHAnsi"/>
                <w:noProof/>
                <w:sz w:val="22"/>
                <w:lang w:val="fr-BE" w:eastAsia="fr-BE"/>
              </w:rPr>
              <w:tab/>
            </w:r>
            <w:r w:rsidR="00392A5E" w:rsidRPr="00991839">
              <w:rPr>
                <w:rStyle w:val="Lienhypertexte"/>
                <w:noProof/>
                <w:lang w:val="fr-BE"/>
              </w:rPr>
              <w:t>Données</w:t>
            </w:r>
            <w:r w:rsidR="00392A5E">
              <w:rPr>
                <w:noProof/>
                <w:webHidden/>
              </w:rPr>
              <w:tab/>
            </w:r>
            <w:r w:rsidR="00392A5E">
              <w:rPr>
                <w:noProof/>
                <w:webHidden/>
              </w:rPr>
              <w:fldChar w:fldCharType="begin"/>
            </w:r>
            <w:r w:rsidR="00392A5E">
              <w:rPr>
                <w:noProof/>
                <w:webHidden/>
              </w:rPr>
              <w:instrText xml:space="preserve"> PAGEREF _Toc130195919 \h </w:instrText>
            </w:r>
            <w:r w:rsidR="00392A5E">
              <w:rPr>
                <w:noProof/>
                <w:webHidden/>
              </w:rPr>
            </w:r>
            <w:r w:rsidR="00392A5E">
              <w:rPr>
                <w:noProof/>
                <w:webHidden/>
              </w:rPr>
              <w:fldChar w:fldCharType="separate"/>
            </w:r>
            <w:r w:rsidR="00D83499">
              <w:rPr>
                <w:noProof/>
                <w:webHidden/>
              </w:rPr>
              <w:t>5</w:t>
            </w:r>
            <w:r w:rsidR="00392A5E">
              <w:rPr>
                <w:noProof/>
                <w:webHidden/>
              </w:rPr>
              <w:fldChar w:fldCharType="end"/>
            </w:r>
          </w:hyperlink>
        </w:p>
        <w:p w14:paraId="2AD7F845" w14:textId="77777777" w:rsidR="00392A5E" w:rsidRDefault="00000000">
          <w:pPr>
            <w:pStyle w:val="TM2"/>
            <w:tabs>
              <w:tab w:val="left" w:pos="880"/>
              <w:tab w:val="right" w:leader="dot" w:pos="9016"/>
            </w:tabs>
            <w:rPr>
              <w:rFonts w:asciiTheme="minorHAnsi" w:eastAsiaTheme="minorEastAsia" w:hAnsiTheme="minorHAnsi"/>
              <w:noProof/>
              <w:sz w:val="22"/>
              <w:lang w:val="fr-BE" w:eastAsia="fr-BE"/>
            </w:rPr>
          </w:pPr>
          <w:hyperlink w:anchor="_Toc130195920" w:history="1">
            <w:r w:rsidR="00392A5E" w:rsidRPr="00991839">
              <w:rPr>
                <w:rStyle w:val="Lienhypertexte"/>
                <w:noProof/>
                <w:lang w:val="fr-BE"/>
              </w:rPr>
              <w:t>2.2</w:t>
            </w:r>
            <w:r w:rsidR="00392A5E">
              <w:rPr>
                <w:rFonts w:asciiTheme="minorHAnsi" w:eastAsiaTheme="minorEastAsia" w:hAnsiTheme="minorHAnsi"/>
                <w:noProof/>
                <w:sz w:val="22"/>
                <w:lang w:val="fr-BE" w:eastAsia="fr-BE"/>
              </w:rPr>
              <w:tab/>
            </w:r>
            <w:r w:rsidR="00392A5E" w:rsidRPr="00991839">
              <w:rPr>
                <w:rStyle w:val="Lienhypertexte"/>
                <w:noProof/>
                <w:lang w:val="fr-BE"/>
              </w:rPr>
              <w:t>Méthodologie</w:t>
            </w:r>
            <w:r w:rsidR="00392A5E">
              <w:rPr>
                <w:noProof/>
                <w:webHidden/>
              </w:rPr>
              <w:tab/>
            </w:r>
            <w:r w:rsidR="00392A5E">
              <w:rPr>
                <w:noProof/>
                <w:webHidden/>
              </w:rPr>
              <w:fldChar w:fldCharType="begin"/>
            </w:r>
            <w:r w:rsidR="00392A5E">
              <w:rPr>
                <w:noProof/>
                <w:webHidden/>
              </w:rPr>
              <w:instrText xml:space="preserve"> PAGEREF _Toc130195920 \h </w:instrText>
            </w:r>
            <w:r w:rsidR="00392A5E">
              <w:rPr>
                <w:noProof/>
                <w:webHidden/>
              </w:rPr>
            </w:r>
            <w:r w:rsidR="00392A5E">
              <w:rPr>
                <w:noProof/>
                <w:webHidden/>
              </w:rPr>
              <w:fldChar w:fldCharType="separate"/>
            </w:r>
            <w:r w:rsidR="00D83499">
              <w:rPr>
                <w:noProof/>
                <w:webHidden/>
              </w:rPr>
              <w:t>6</w:t>
            </w:r>
            <w:r w:rsidR="00392A5E">
              <w:rPr>
                <w:noProof/>
                <w:webHidden/>
              </w:rPr>
              <w:fldChar w:fldCharType="end"/>
            </w:r>
          </w:hyperlink>
        </w:p>
        <w:p w14:paraId="3A5C32A7" w14:textId="77777777" w:rsidR="00392A5E" w:rsidRDefault="00000000">
          <w:pPr>
            <w:pStyle w:val="TM3"/>
            <w:tabs>
              <w:tab w:val="left" w:pos="1100"/>
              <w:tab w:val="right" w:leader="dot" w:pos="9016"/>
            </w:tabs>
            <w:rPr>
              <w:rFonts w:asciiTheme="minorHAnsi" w:eastAsiaTheme="minorEastAsia" w:hAnsiTheme="minorHAnsi"/>
              <w:noProof/>
              <w:sz w:val="22"/>
              <w:lang w:val="fr-BE" w:eastAsia="fr-BE"/>
            </w:rPr>
          </w:pPr>
          <w:hyperlink w:anchor="_Toc130195921" w:history="1">
            <w:r w:rsidR="00392A5E" w:rsidRPr="00991839">
              <w:rPr>
                <w:rStyle w:val="Lienhypertexte"/>
                <w:noProof/>
                <w:lang w:val="fr-BE"/>
              </w:rPr>
              <w:t>2.2.1</w:t>
            </w:r>
            <w:r w:rsidR="00392A5E">
              <w:rPr>
                <w:rFonts w:asciiTheme="minorHAnsi" w:eastAsiaTheme="minorEastAsia" w:hAnsiTheme="minorHAnsi"/>
                <w:noProof/>
                <w:sz w:val="22"/>
                <w:lang w:val="fr-BE" w:eastAsia="fr-BE"/>
              </w:rPr>
              <w:tab/>
            </w:r>
            <w:r w:rsidR="00392A5E" w:rsidRPr="00991839">
              <w:rPr>
                <w:rStyle w:val="Lienhypertexte"/>
                <w:noProof/>
                <w:lang w:val="fr-BE"/>
              </w:rPr>
              <w:t>Analyse longitudinale</w:t>
            </w:r>
            <w:r w:rsidR="00392A5E">
              <w:rPr>
                <w:noProof/>
                <w:webHidden/>
              </w:rPr>
              <w:tab/>
            </w:r>
            <w:r w:rsidR="00392A5E">
              <w:rPr>
                <w:noProof/>
                <w:webHidden/>
              </w:rPr>
              <w:fldChar w:fldCharType="begin"/>
            </w:r>
            <w:r w:rsidR="00392A5E">
              <w:rPr>
                <w:noProof/>
                <w:webHidden/>
              </w:rPr>
              <w:instrText xml:space="preserve"> PAGEREF _Toc130195921 \h </w:instrText>
            </w:r>
            <w:r w:rsidR="00392A5E">
              <w:rPr>
                <w:noProof/>
                <w:webHidden/>
              </w:rPr>
            </w:r>
            <w:r w:rsidR="00392A5E">
              <w:rPr>
                <w:noProof/>
                <w:webHidden/>
              </w:rPr>
              <w:fldChar w:fldCharType="separate"/>
            </w:r>
            <w:r w:rsidR="00D83499">
              <w:rPr>
                <w:noProof/>
                <w:webHidden/>
              </w:rPr>
              <w:t>6</w:t>
            </w:r>
            <w:r w:rsidR="00392A5E">
              <w:rPr>
                <w:noProof/>
                <w:webHidden/>
              </w:rPr>
              <w:fldChar w:fldCharType="end"/>
            </w:r>
          </w:hyperlink>
        </w:p>
        <w:p w14:paraId="7E10045C" w14:textId="77777777" w:rsidR="00392A5E" w:rsidRDefault="00000000">
          <w:pPr>
            <w:pStyle w:val="TM3"/>
            <w:tabs>
              <w:tab w:val="left" w:pos="1100"/>
              <w:tab w:val="right" w:leader="dot" w:pos="9016"/>
            </w:tabs>
            <w:rPr>
              <w:rFonts w:asciiTheme="minorHAnsi" w:eastAsiaTheme="minorEastAsia" w:hAnsiTheme="minorHAnsi"/>
              <w:noProof/>
              <w:sz w:val="22"/>
              <w:lang w:val="fr-BE" w:eastAsia="fr-BE"/>
            </w:rPr>
          </w:pPr>
          <w:hyperlink w:anchor="_Toc130195922" w:history="1">
            <w:r w:rsidR="00392A5E" w:rsidRPr="00991839">
              <w:rPr>
                <w:rStyle w:val="Lienhypertexte"/>
                <w:noProof/>
                <w:lang w:val="fr-BE"/>
              </w:rPr>
              <w:t>2.2.2</w:t>
            </w:r>
            <w:r w:rsidR="00392A5E">
              <w:rPr>
                <w:rFonts w:asciiTheme="minorHAnsi" w:eastAsiaTheme="minorEastAsia" w:hAnsiTheme="minorHAnsi"/>
                <w:noProof/>
                <w:sz w:val="22"/>
                <w:lang w:val="fr-BE" w:eastAsia="fr-BE"/>
              </w:rPr>
              <w:tab/>
            </w:r>
            <w:r w:rsidR="00392A5E" w:rsidRPr="00991839">
              <w:rPr>
                <w:rStyle w:val="Lienhypertexte"/>
                <w:noProof/>
                <w:lang w:val="fr-BE"/>
              </w:rPr>
              <w:t>Sélection des médicaments</w:t>
            </w:r>
            <w:r w:rsidR="00392A5E">
              <w:rPr>
                <w:noProof/>
                <w:webHidden/>
              </w:rPr>
              <w:tab/>
            </w:r>
            <w:r w:rsidR="00392A5E">
              <w:rPr>
                <w:noProof/>
                <w:webHidden/>
              </w:rPr>
              <w:fldChar w:fldCharType="begin"/>
            </w:r>
            <w:r w:rsidR="00392A5E">
              <w:rPr>
                <w:noProof/>
                <w:webHidden/>
              </w:rPr>
              <w:instrText xml:space="preserve"> PAGEREF _Toc130195922 \h </w:instrText>
            </w:r>
            <w:r w:rsidR="00392A5E">
              <w:rPr>
                <w:noProof/>
                <w:webHidden/>
              </w:rPr>
            </w:r>
            <w:r w:rsidR="00392A5E">
              <w:rPr>
                <w:noProof/>
                <w:webHidden/>
              </w:rPr>
              <w:fldChar w:fldCharType="separate"/>
            </w:r>
            <w:r w:rsidR="00D83499">
              <w:rPr>
                <w:noProof/>
                <w:webHidden/>
              </w:rPr>
              <w:t>7</w:t>
            </w:r>
            <w:r w:rsidR="00392A5E">
              <w:rPr>
                <w:noProof/>
                <w:webHidden/>
              </w:rPr>
              <w:fldChar w:fldCharType="end"/>
            </w:r>
          </w:hyperlink>
        </w:p>
        <w:p w14:paraId="47843981" w14:textId="77777777" w:rsidR="00392A5E" w:rsidRDefault="00000000">
          <w:pPr>
            <w:pStyle w:val="TM2"/>
            <w:tabs>
              <w:tab w:val="left" w:pos="880"/>
              <w:tab w:val="right" w:leader="dot" w:pos="9016"/>
            </w:tabs>
            <w:rPr>
              <w:rFonts w:asciiTheme="minorHAnsi" w:eastAsiaTheme="minorEastAsia" w:hAnsiTheme="minorHAnsi"/>
              <w:noProof/>
              <w:sz w:val="22"/>
              <w:lang w:val="fr-BE" w:eastAsia="fr-BE"/>
            </w:rPr>
          </w:pPr>
          <w:hyperlink w:anchor="_Toc130195923" w:history="1">
            <w:r w:rsidR="00392A5E" w:rsidRPr="00991839">
              <w:rPr>
                <w:rStyle w:val="Lienhypertexte"/>
                <w:noProof/>
                <w:lang w:val="fr-BE"/>
              </w:rPr>
              <w:t>2.3</w:t>
            </w:r>
            <w:r w:rsidR="00392A5E">
              <w:rPr>
                <w:rFonts w:asciiTheme="minorHAnsi" w:eastAsiaTheme="minorEastAsia" w:hAnsiTheme="minorHAnsi"/>
                <w:noProof/>
                <w:sz w:val="22"/>
                <w:lang w:val="fr-BE" w:eastAsia="fr-BE"/>
              </w:rPr>
              <w:tab/>
            </w:r>
            <w:r w:rsidR="00392A5E" w:rsidRPr="00991839">
              <w:rPr>
                <w:rStyle w:val="Lienhypertexte"/>
                <w:noProof/>
                <w:lang w:val="fr-BE"/>
              </w:rPr>
              <w:t>Points d'attention en comparaison avec l'étude de 2013</w:t>
            </w:r>
            <w:r w:rsidR="00392A5E">
              <w:rPr>
                <w:noProof/>
                <w:webHidden/>
              </w:rPr>
              <w:tab/>
            </w:r>
            <w:r w:rsidR="00392A5E">
              <w:rPr>
                <w:noProof/>
                <w:webHidden/>
              </w:rPr>
              <w:fldChar w:fldCharType="begin"/>
            </w:r>
            <w:r w:rsidR="00392A5E">
              <w:rPr>
                <w:noProof/>
                <w:webHidden/>
              </w:rPr>
              <w:instrText xml:space="preserve"> PAGEREF _Toc130195923 \h </w:instrText>
            </w:r>
            <w:r w:rsidR="00392A5E">
              <w:rPr>
                <w:noProof/>
                <w:webHidden/>
              </w:rPr>
            </w:r>
            <w:r w:rsidR="00392A5E">
              <w:rPr>
                <w:noProof/>
                <w:webHidden/>
              </w:rPr>
              <w:fldChar w:fldCharType="separate"/>
            </w:r>
            <w:r w:rsidR="00D83499">
              <w:rPr>
                <w:noProof/>
                <w:webHidden/>
              </w:rPr>
              <w:t>9</w:t>
            </w:r>
            <w:r w:rsidR="00392A5E">
              <w:rPr>
                <w:noProof/>
                <w:webHidden/>
              </w:rPr>
              <w:fldChar w:fldCharType="end"/>
            </w:r>
          </w:hyperlink>
        </w:p>
        <w:p w14:paraId="369EDBE9" w14:textId="77777777" w:rsidR="00392A5E" w:rsidRDefault="00000000">
          <w:pPr>
            <w:pStyle w:val="TM1"/>
            <w:rPr>
              <w:rFonts w:asciiTheme="minorHAnsi" w:eastAsiaTheme="minorEastAsia" w:hAnsiTheme="minorHAnsi"/>
              <w:color w:val="auto"/>
              <w:sz w:val="22"/>
              <w:szCs w:val="22"/>
              <w:lang w:val="fr-BE" w:eastAsia="fr-BE"/>
            </w:rPr>
          </w:pPr>
          <w:hyperlink w:anchor="_Toc130195924" w:history="1">
            <w:r w:rsidR="00392A5E" w:rsidRPr="00991839">
              <w:rPr>
                <w:rStyle w:val="Lienhypertexte"/>
                <w:lang w:val="fr-BE"/>
              </w:rPr>
              <w:t>3</w:t>
            </w:r>
            <w:r w:rsidR="00392A5E">
              <w:rPr>
                <w:rFonts w:asciiTheme="minorHAnsi" w:eastAsiaTheme="minorEastAsia" w:hAnsiTheme="minorHAnsi"/>
                <w:color w:val="auto"/>
                <w:sz w:val="22"/>
                <w:szCs w:val="22"/>
                <w:lang w:val="fr-BE" w:eastAsia="fr-BE"/>
              </w:rPr>
              <w:tab/>
            </w:r>
            <w:r w:rsidR="00392A5E" w:rsidRPr="00991839">
              <w:rPr>
                <w:rStyle w:val="Lienhypertexte"/>
                <w:lang w:val="fr-BE"/>
              </w:rPr>
              <w:t>Analyse longitudinale de la consommation de médicaments en maison de repos</w:t>
            </w:r>
            <w:r w:rsidR="00392A5E">
              <w:rPr>
                <w:webHidden/>
              </w:rPr>
              <w:tab/>
            </w:r>
            <w:r w:rsidR="00392A5E">
              <w:rPr>
                <w:webHidden/>
              </w:rPr>
              <w:fldChar w:fldCharType="begin"/>
            </w:r>
            <w:r w:rsidR="00392A5E">
              <w:rPr>
                <w:webHidden/>
              </w:rPr>
              <w:instrText xml:space="preserve"> PAGEREF _Toc130195924 \h </w:instrText>
            </w:r>
            <w:r w:rsidR="00392A5E">
              <w:rPr>
                <w:webHidden/>
              </w:rPr>
            </w:r>
            <w:r w:rsidR="00392A5E">
              <w:rPr>
                <w:webHidden/>
              </w:rPr>
              <w:fldChar w:fldCharType="separate"/>
            </w:r>
            <w:r w:rsidR="00D83499">
              <w:rPr>
                <w:webHidden/>
              </w:rPr>
              <w:t>10</w:t>
            </w:r>
            <w:r w:rsidR="00392A5E">
              <w:rPr>
                <w:webHidden/>
              </w:rPr>
              <w:fldChar w:fldCharType="end"/>
            </w:r>
          </w:hyperlink>
        </w:p>
        <w:p w14:paraId="07674F84" w14:textId="77777777" w:rsidR="00392A5E" w:rsidRDefault="00000000">
          <w:pPr>
            <w:pStyle w:val="TM2"/>
            <w:tabs>
              <w:tab w:val="left" w:pos="880"/>
              <w:tab w:val="right" w:leader="dot" w:pos="9016"/>
            </w:tabs>
            <w:rPr>
              <w:rFonts w:asciiTheme="minorHAnsi" w:eastAsiaTheme="minorEastAsia" w:hAnsiTheme="minorHAnsi"/>
              <w:noProof/>
              <w:sz w:val="22"/>
              <w:lang w:val="fr-BE" w:eastAsia="fr-BE"/>
            </w:rPr>
          </w:pPr>
          <w:hyperlink w:anchor="_Toc130195925" w:history="1">
            <w:r w:rsidR="00392A5E" w:rsidRPr="00991839">
              <w:rPr>
                <w:rStyle w:val="Lienhypertexte"/>
                <w:noProof/>
                <w:lang w:val="fr-BE"/>
              </w:rPr>
              <w:t>3.1</w:t>
            </w:r>
            <w:r w:rsidR="00392A5E">
              <w:rPr>
                <w:rFonts w:asciiTheme="minorHAnsi" w:eastAsiaTheme="minorEastAsia" w:hAnsiTheme="minorHAnsi"/>
                <w:noProof/>
                <w:sz w:val="22"/>
                <w:lang w:val="fr-BE" w:eastAsia="fr-BE"/>
              </w:rPr>
              <w:tab/>
            </w:r>
            <w:r w:rsidR="00392A5E" w:rsidRPr="00991839">
              <w:rPr>
                <w:rStyle w:val="Lienhypertexte"/>
                <w:noProof/>
                <w:lang w:val="fr-BE"/>
              </w:rPr>
              <w:t>Consommation globale de médicaments avant et après l’entrée en maison de repos</w:t>
            </w:r>
            <w:r w:rsidR="00392A5E">
              <w:rPr>
                <w:noProof/>
                <w:webHidden/>
              </w:rPr>
              <w:tab/>
            </w:r>
            <w:r w:rsidR="00392A5E">
              <w:rPr>
                <w:noProof/>
                <w:webHidden/>
              </w:rPr>
              <w:fldChar w:fldCharType="begin"/>
            </w:r>
            <w:r w:rsidR="00392A5E">
              <w:rPr>
                <w:noProof/>
                <w:webHidden/>
              </w:rPr>
              <w:instrText xml:space="preserve"> PAGEREF _Toc130195925 \h </w:instrText>
            </w:r>
            <w:r w:rsidR="00392A5E">
              <w:rPr>
                <w:noProof/>
                <w:webHidden/>
              </w:rPr>
            </w:r>
            <w:r w:rsidR="00392A5E">
              <w:rPr>
                <w:noProof/>
                <w:webHidden/>
              </w:rPr>
              <w:fldChar w:fldCharType="separate"/>
            </w:r>
            <w:r w:rsidR="00D83499">
              <w:rPr>
                <w:noProof/>
                <w:webHidden/>
              </w:rPr>
              <w:t>10</w:t>
            </w:r>
            <w:r w:rsidR="00392A5E">
              <w:rPr>
                <w:noProof/>
                <w:webHidden/>
              </w:rPr>
              <w:fldChar w:fldCharType="end"/>
            </w:r>
          </w:hyperlink>
        </w:p>
        <w:p w14:paraId="21623493" w14:textId="77777777" w:rsidR="00392A5E" w:rsidRDefault="00000000">
          <w:pPr>
            <w:pStyle w:val="TM2"/>
            <w:tabs>
              <w:tab w:val="left" w:pos="880"/>
              <w:tab w:val="right" w:leader="dot" w:pos="9016"/>
            </w:tabs>
            <w:rPr>
              <w:rFonts w:asciiTheme="minorHAnsi" w:eastAsiaTheme="minorEastAsia" w:hAnsiTheme="minorHAnsi"/>
              <w:noProof/>
              <w:sz w:val="22"/>
              <w:lang w:val="fr-BE" w:eastAsia="fr-BE"/>
            </w:rPr>
          </w:pPr>
          <w:hyperlink w:anchor="_Toc130195926" w:history="1">
            <w:r w:rsidR="00392A5E" w:rsidRPr="00991839">
              <w:rPr>
                <w:rStyle w:val="Lienhypertexte"/>
                <w:noProof/>
                <w:lang w:val="fr-BE"/>
              </w:rPr>
              <w:t>3.2</w:t>
            </w:r>
            <w:r w:rsidR="00392A5E">
              <w:rPr>
                <w:rFonts w:asciiTheme="minorHAnsi" w:eastAsiaTheme="minorEastAsia" w:hAnsiTheme="minorHAnsi"/>
                <w:noProof/>
                <w:sz w:val="22"/>
                <w:lang w:val="fr-BE" w:eastAsia="fr-BE"/>
              </w:rPr>
              <w:tab/>
            </w:r>
            <w:r w:rsidR="00392A5E" w:rsidRPr="00991839">
              <w:rPr>
                <w:rStyle w:val="Lienhypertexte"/>
                <w:noProof/>
                <w:lang w:val="fr-BE"/>
              </w:rPr>
              <w:t>Polymédication avant et après l’entrée en maison de repos</w:t>
            </w:r>
            <w:r w:rsidR="00392A5E">
              <w:rPr>
                <w:noProof/>
                <w:webHidden/>
              </w:rPr>
              <w:tab/>
            </w:r>
            <w:r w:rsidR="00392A5E">
              <w:rPr>
                <w:noProof/>
                <w:webHidden/>
              </w:rPr>
              <w:fldChar w:fldCharType="begin"/>
            </w:r>
            <w:r w:rsidR="00392A5E">
              <w:rPr>
                <w:noProof/>
                <w:webHidden/>
              </w:rPr>
              <w:instrText xml:space="preserve"> PAGEREF _Toc130195926 \h </w:instrText>
            </w:r>
            <w:r w:rsidR="00392A5E">
              <w:rPr>
                <w:noProof/>
                <w:webHidden/>
              </w:rPr>
            </w:r>
            <w:r w:rsidR="00392A5E">
              <w:rPr>
                <w:noProof/>
                <w:webHidden/>
              </w:rPr>
              <w:fldChar w:fldCharType="separate"/>
            </w:r>
            <w:r w:rsidR="00D83499">
              <w:rPr>
                <w:noProof/>
                <w:webHidden/>
              </w:rPr>
              <w:t>12</w:t>
            </w:r>
            <w:r w:rsidR="00392A5E">
              <w:rPr>
                <w:noProof/>
                <w:webHidden/>
              </w:rPr>
              <w:fldChar w:fldCharType="end"/>
            </w:r>
          </w:hyperlink>
        </w:p>
        <w:p w14:paraId="4F87B907" w14:textId="77777777" w:rsidR="00392A5E" w:rsidRDefault="00000000">
          <w:pPr>
            <w:pStyle w:val="TM2"/>
            <w:tabs>
              <w:tab w:val="left" w:pos="880"/>
              <w:tab w:val="right" w:leader="dot" w:pos="9016"/>
            </w:tabs>
            <w:rPr>
              <w:rFonts w:asciiTheme="minorHAnsi" w:eastAsiaTheme="minorEastAsia" w:hAnsiTheme="minorHAnsi"/>
              <w:noProof/>
              <w:sz w:val="22"/>
              <w:lang w:val="fr-BE" w:eastAsia="fr-BE"/>
            </w:rPr>
          </w:pPr>
          <w:hyperlink w:anchor="_Toc130195927" w:history="1">
            <w:r w:rsidR="00392A5E" w:rsidRPr="00991839">
              <w:rPr>
                <w:rStyle w:val="Lienhypertexte"/>
                <w:noProof/>
                <w:lang w:val="fr-BE"/>
              </w:rPr>
              <w:t>3.3</w:t>
            </w:r>
            <w:r w:rsidR="00392A5E">
              <w:rPr>
                <w:rFonts w:asciiTheme="minorHAnsi" w:eastAsiaTheme="minorEastAsia" w:hAnsiTheme="minorHAnsi"/>
                <w:noProof/>
                <w:sz w:val="22"/>
                <w:lang w:val="fr-BE" w:eastAsia="fr-BE"/>
              </w:rPr>
              <w:tab/>
            </w:r>
            <w:r w:rsidR="00392A5E" w:rsidRPr="00991839">
              <w:rPr>
                <w:rStyle w:val="Lienhypertexte"/>
                <w:noProof/>
                <w:lang w:val="fr-BE"/>
              </w:rPr>
              <w:t>Population sous traitement pour les molécules sélectionnées avant et après l’entrée en maison de repos</w:t>
            </w:r>
            <w:r w:rsidR="00392A5E">
              <w:rPr>
                <w:noProof/>
                <w:webHidden/>
              </w:rPr>
              <w:tab/>
            </w:r>
            <w:r w:rsidR="00392A5E">
              <w:rPr>
                <w:noProof/>
                <w:webHidden/>
              </w:rPr>
              <w:fldChar w:fldCharType="begin"/>
            </w:r>
            <w:r w:rsidR="00392A5E">
              <w:rPr>
                <w:noProof/>
                <w:webHidden/>
              </w:rPr>
              <w:instrText xml:space="preserve"> PAGEREF _Toc130195927 \h </w:instrText>
            </w:r>
            <w:r w:rsidR="00392A5E">
              <w:rPr>
                <w:noProof/>
                <w:webHidden/>
              </w:rPr>
            </w:r>
            <w:r w:rsidR="00392A5E">
              <w:rPr>
                <w:noProof/>
                <w:webHidden/>
              </w:rPr>
              <w:fldChar w:fldCharType="separate"/>
            </w:r>
            <w:r w:rsidR="00D83499">
              <w:rPr>
                <w:noProof/>
                <w:webHidden/>
              </w:rPr>
              <w:t>13</w:t>
            </w:r>
            <w:r w:rsidR="00392A5E">
              <w:rPr>
                <w:noProof/>
                <w:webHidden/>
              </w:rPr>
              <w:fldChar w:fldCharType="end"/>
            </w:r>
          </w:hyperlink>
        </w:p>
        <w:p w14:paraId="24D22247" w14:textId="77777777" w:rsidR="00392A5E" w:rsidRDefault="00000000">
          <w:pPr>
            <w:pStyle w:val="TM1"/>
            <w:rPr>
              <w:rFonts w:asciiTheme="minorHAnsi" w:eastAsiaTheme="minorEastAsia" w:hAnsiTheme="minorHAnsi"/>
              <w:color w:val="auto"/>
              <w:sz w:val="22"/>
              <w:szCs w:val="22"/>
              <w:lang w:val="fr-BE" w:eastAsia="fr-BE"/>
            </w:rPr>
          </w:pPr>
          <w:hyperlink w:anchor="_Toc130195928" w:history="1">
            <w:r w:rsidR="00392A5E" w:rsidRPr="00991839">
              <w:rPr>
                <w:rStyle w:val="Lienhypertexte"/>
                <w:lang w:val="fr-BE"/>
              </w:rPr>
              <w:t>4</w:t>
            </w:r>
            <w:r w:rsidR="00392A5E">
              <w:rPr>
                <w:rFonts w:asciiTheme="minorHAnsi" w:eastAsiaTheme="minorEastAsia" w:hAnsiTheme="minorHAnsi"/>
                <w:color w:val="auto"/>
                <w:sz w:val="22"/>
                <w:szCs w:val="22"/>
                <w:lang w:val="fr-BE" w:eastAsia="fr-BE"/>
              </w:rPr>
              <w:tab/>
            </w:r>
            <w:r w:rsidR="00392A5E" w:rsidRPr="00991839">
              <w:rPr>
                <w:rStyle w:val="Lienhypertexte"/>
                <w:lang w:val="fr-BE"/>
              </w:rPr>
              <w:t>Conclusion</w:t>
            </w:r>
            <w:r w:rsidR="00392A5E">
              <w:rPr>
                <w:webHidden/>
              </w:rPr>
              <w:tab/>
            </w:r>
            <w:r w:rsidR="00392A5E">
              <w:rPr>
                <w:webHidden/>
              </w:rPr>
              <w:fldChar w:fldCharType="begin"/>
            </w:r>
            <w:r w:rsidR="00392A5E">
              <w:rPr>
                <w:webHidden/>
              </w:rPr>
              <w:instrText xml:space="preserve"> PAGEREF _Toc130195928 \h </w:instrText>
            </w:r>
            <w:r w:rsidR="00392A5E">
              <w:rPr>
                <w:webHidden/>
              </w:rPr>
            </w:r>
            <w:r w:rsidR="00392A5E">
              <w:rPr>
                <w:webHidden/>
              </w:rPr>
              <w:fldChar w:fldCharType="separate"/>
            </w:r>
            <w:r w:rsidR="00D83499">
              <w:rPr>
                <w:webHidden/>
              </w:rPr>
              <w:t>17</w:t>
            </w:r>
            <w:r w:rsidR="00392A5E">
              <w:rPr>
                <w:webHidden/>
              </w:rPr>
              <w:fldChar w:fldCharType="end"/>
            </w:r>
          </w:hyperlink>
        </w:p>
        <w:p w14:paraId="2C79C460" w14:textId="77777777" w:rsidR="00392A5E" w:rsidRDefault="00000000">
          <w:pPr>
            <w:pStyle w:val="TM1"/>
            <w:rPr>
              <w:rFonts w:asciiTheme="minorHAnsi" w:eastAsiaTheme="minorEastAsia" w:hAnsiTheme="minorHAnsi"/>
              <w:color w:val="auto"/>
              <w:sz w:val="22"/>
              <w:szCs w:val="22"/>
              <w:lang w:val="fr-BE" w:eastAsia="fr-BE"/>
            </w:rPr>
          </w:pPr>
          <w:hyperlink w:anchor="_Toc130195929" w:history="1">
            <w:r w:rsidR="00392A5E" w:rsidRPr="00991839">
              <w:rPr>
                <w:rStyle w:val="Lienhypertexte"/>
                <w:lang w:val="fr-BE"/>
              </w:rPr>
              <w:t>5</w:t>
            </w:r>
            <w:r w:rsidR="00392A5E">
              <w:rPr>
                <w:rFonts w:asciiTheme="minorHAnsi" w:eastAsiaTheme="minorEastAsia" w:hAnsiTheme="minorHAnsi"/>
                <w:color w:val="auto"/>
                <w:sz w:val="22"/>
                <w:szCs w:val="22"/>
                <w:lang w:val="fr-BE" w:eastAsia="fr-BE"/>
              </w:rPr>
              <w:tab/>
            </w:r>
            <w:r w:rsidR="00392A5E" w:rsidRPr="00991839">
              <w:rPr>
                <w:rStyle w:val="Lienhypertexte"/>
                <w:lang w:val="fr-BE"/>
              </w:rPr>
              <w:t>Recommandations</w:t>
            </w:r>
            <w:r w:rsidR="00392A5E">
              <w:rPr>
                <w:webHidden/>
              </w:rPr>
              <w:tab/>
            </w:r>
            <w:r w:rsidR="00392A5E">
              <w:rPr>
                <w:webHidden/>
              </w:rPr>
              <w:fldChar w:fldCharType="begin"/>
            </w:r>
            <w:r w:rsidR="00392A5E">
              <w:rPr>
                <w:webHidden/>
              </w:rPr>
              <w:instrText xml:space="preserve"> PAGEREF _Toc130195929 \h </w:instrText>
            </w:r>
            <w:r w:rsidR="00392A5E">
              <w:rPr>
                <w:webHidden/>
              </w:rPr>
            </w:r>
            <w:r w:rsidR="00392A5E">
              <w:rPr>
                <w:webHidden/>
              </w:rPr>
              <w:fldChar w:fldCharType="separate"/>
            </w:r>
            <w:r w:rsidR="00D83499">
              <w:rPr>
                <w:webHidden/>
              </w:rPr>
              <w:t>18</w:t>
            </w:r>
            <w:r w:rsidR="00392A5E">
              <w:rPr>
                <w:webHidden/>
              </w:rPr>
              <w:fldChar w:fldCharType="end"/>
            </w:r>
          </w:hyperlink>
        </w:p>
        <w:p w14:paraId="566F74C2" w14:textId="77777777" w:rsidR="00392A5E" w:rsidRDefault="00000000">
          <w:pPr>
            <w:pStyle w:val="TM1"/>
            <w:rPr>
              <w:rFonts w:asciiTheme="minorHAnsi" w:eastAsiaTheme="minorEastAsia" w:hAnsiTheme="minorHAnsi"/>
              <w:color w:val="auto"/>
              <w:sz w:val="22"/>
              <w:szCs w:val="22"/>
              <w:lang w:val="fr-BE" w:eastAsia="fr-BE"/>
            </w:rPr>
          </w:pPr>
          <w:hyperlink w:anchor="_Toc130195930" w:history="1">
            <w:r w:rsidR="00392A5E" w:rsidRPr="00991839">
              <w:rPr>
                <w:rStyle w:val="Lienhypertexte"/>
                <w:lang w:val="fr-BE"/>
              </w:rPr>
              <w:t>Bibliographie</w:t>
            </w:r>
            <w:r w:rsidR="00392A5E">
              <w:rPr>
                <w:webHidden/>
              </w:rPr>
              <w:tab/>
            </w:r>
            <w:r w:rsidR="00392A5E">
              <w:rPr>
                <w:webHidden/>
              </w:rPr>
              <w:fldChar w:fldCharType="begin"/>
            </w:r>
            <w:r w:rsidR="00392A5E">
              <w:rPr>
                <w:webHidden/>
              </w:rPr>
              <w:instrText xml:space="preserve"> PAGEREF _Toc130195930 \h </w:instrText>
            </w:r>
            <w:r w:rsidR="00392A5E">
              <w:rPr>
                <w:webHidden/>
              </w:rPr>
            </w:r>
            <w:r w:rsidR="00392A5E">
              <w:rPr>
                <w:webHidden/>
              </w:rPr>
              <w:fldChar w:fldCharType="separate"/>
            </w:r>
            <w:r w:rsidR="00D83499">
              <w:rPr>
                <w:webHidden/>
              </w:rPr>
              <w:t>20</w:t>
            </w:r>
            <w:r w:rsidR="00392A5E">
              <w:rPr>
                <w:webHidden/>
              </w:rPr>
              <w:fldChar w:fldCharType="end"/>
            </w:r>
          </w:hyperlink>
        </w:p>
        <w:p w14:paraId="160BE6E6" w14:textId="447D6D1B" w:rsidR="006324E9" w:rsidRPr="00365CC3" w:rsidRDefault="006324E9">
          <w:pPr>
            <w:rPr>
              <w:lang w:val="fr-BE"/>
            </w:rPr>
          </w:pPr>
          <w:r w:rsidRPr="00365CC3">
            <w:rPr>
              <w:b/>
              <w:bCs/>
              <w:lang w:val="fr-BE"/>
            </w:rPr>
            <w:fldChar w:fldCharType="end"/>
          </w:r>
        </w:p>
      </w:sdtContent>
    </w:sdt>
    <w:p w14:paraId="27CFE435" w14:textId="5BBB4141" w:rsidR="001F5029" w:rsidRPr="00365CC3" w:rsidRDefault="006324E9" w:rsidP="001F5029">
      <w:pPr>
        <w:pStyle w:val="Sansinterligne"/>
        <w:rPr>
          <w:color w:val="D90030"/>
          <w:sz w:val="40"/>
          <w:szCs w:val="40"/>
          <w:lang w:val="fr-BE"/>
        </w:rPr>
      </w:pPr>
      <w:r w:rsidRPr="00365CC3">
        <w:rPr>
          <w:lang w:val="fr-BE"/>
        </w:rPr>
        <w:br w:type="page"/>
      </w:r>
      <w:r w:rsidR="001F5029" w:rsidRPr="00365CC3">
        <w:rPr>
          <w:color w:val="D90030"/>
          <w:sz w:val="40"/>
          <w:szCs w:val="40"/>
          <w:lang w:val="fr-BE"/>
        </w:rPr>
        <w:lastRenderedPageBreak/>
        <w:t xml:space="preserve">Table des </w:t>
      </w:r>
      <w:r w:rsidR="001F5029">
        <w:rPr>
          <w:color w:val="D90030"/>
          <w:sz w:val="40"/>
          <w:szCs w:val="40"/>
          <w:lang w:val="fr-BE"/>
        </w:rPr>
        <w:t>figures</w:t>
      </w:r>
    </w:p>
    <w:p w14:paraId="74E0A636" w14:textId="77777777" w:rsidR="000B6585" w:rsidRDefault="000B6585" w:rsidP="008F24EB">
      <w:pPr>
        <w:pStyle w:val="Tabledesillustrations"/>
        <w:tabs>
          <w:tab w:val="right" w:leader="dot" w:pos="9016"/>
        </w:tabs>
        <w:spacing w:before="0" w:after="0"/>
        <w:rPr>
          <w:noProof/>
          <w:color w:val="D90030"/>
          <w:sz w:val="24"/>
          <w:szCs w:val="28"/>
          <w:lang w:val="fr-BE"/>
        </w:rPr>
      </w:pPr>
    </w:p>
    <w:p w14:paraId="3F552ABD" w14:textId="77777777" w:rsidR="00E07250" w:rsidRDefault="000B6585">
      <w:pPr>
        <w:pStyle w:val="Tabledesillustrations"/>
        <w:tabs>
          <w:tab w:val="right" w:leader="dot" w:pos="9016"/>
        </w:tabs>
        <w:rPr>
          <w:rFonts w:asciiTheme="minorHAnsi" w:eastAsiaTheme="minorEastAsia" w:hAnsiTheme="minorHAnsi"/>
          <w:noProof/>
          <w:sz w:val="22"/>
          <w:lang w:val="fr-BE" w:eastAsia="fr-BE"/>
        </w:rPr>
      </w:pPr>
      <w:r>
        <w:rPr>
          <w:noProof/>
          <w:color w:val="D90030"/>
          <w:sz w:val="24"/>
          <w:szCs w:val="28"/>
          <w:lang w:val="fr-BE"/>
        </w:rPr>
        <w:fldChar w:fldCharType="begin"/>
      </w:r>
      <w:r>
        <w:rPr>
          <w:noProof/>
          <w:color w:val="D90030"/>
          <w:sz w:val="24"/>
          <w:szCs w:val="28"/>
          <w:lang w:val="fr-BE"/>
        </w:rPr>
        <w:instrText xml:space="preserve"> TOC \h \z \t "Figure" \c </w:instrText>
      </w:r>
      <w:r>
        <w:rPr>
          <w:noProof/>
          <w:color w:val="D90030"/>
          <w:sz w:val="24"/>
          <w:szCs w:val="28"/>
          <w:lang w:val="fr-BE"/>
        </w:rPr>
        <w:fldChar w:fldCharType="separate"/>
      </w:r>
      <w:hyperlink w:anchor="_Toc130195837" w:history="1">
        <w:r w:rsidR="00E07250" w:rsidRPr="00307560">
          <w:rPr>
            <w:rStyle w:val="Lienhypertexte"/>
            <w:noProof/>
          </w:rPr>
          <w:t>Figure 1 : Entrée en maison de repos – période analysée 2020-2021</w:t>
        </w:r>
        <w:r w:rsidR="00E07250">
          <w:rPr>
            <w:noProof/>
            <w:webHidden/>
          </w:rPr>
          <w:tab/>
        </w:r>
        <w:r w:rsidR="00E07250">
          <w:rPr>
            <w:noProof/>
            <w:webHidden/>
          </w:rPr>
          <w:fldChar w:fldCharType="begin"/>
        </w:r>
        <w:r w:rsidR="00E07250">
          <w:rPr>
            <w:noProof/>
            <w:webHidden/>
          </w:rPr>
          <w:instrText xml:space="preserve"> PAGEREF _Toc130195837 \h </w:instrText>
        </w:r>
        <w:r w:rsidR="00E07250">
          <w:rPr>
            <w:noProof/>
            <w:webHidden/>
          </w:rPr>
        </w:r>
        <w:r w:rsidR="00E07250">
          <w:rPr>
            <w:noProof/>
            <w:webHidden/>
          </w:rPr>
          <w:fldChar w:fldCharType="separate"/>
        </w:r>
        <w:r w:rsidR="00D83499">
          <w:rPr>
            <w:noProof/>
            <w:webHidden/>
          </w:rPr>
          <w:t>6</w:t>
        </w:r>
        <w:r w:rsidR="00E07250">
          <w:rPr>
            <w:noProof/>
            <w:webHidden/>
          </w:rPr>
          <w:fldChar w:fldCharType="end"/>
        </w:r>
      </w:hyperlink>
    </w:p>
    <w:p w14:paraId="41557624"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8" w:history="1">
        <w:r w:rsidR="00E07250" w:rsidRPr="00307560">
          <w:rPr>
            <w:rStyle w:val="Lienhypertexte"/>
            <w:noProof/>
          </w:rPr>
          <w:t>Figure 2 : Affiliés (en %) sous traitement avant et après l’entrée en maison de repos par type de médicament, 2020-2021</w:t>
        </w:r>
        <w:r w:rsidR="00E07250">
          <w:rPr>
            <w:noProof/>
            <w:webHidden/>
          </w:rPr>
          <w:tab/>
        </w:r>
        <w:r w:rsidR="00E07250">
          <w:rPr>
            <w:noProof/>
            <w:webHidden/>
          </w:rPr>
          <w:fldChar w:fldCharType="begin"/>
        </w:r>
        <w:r w:rsidR="00E07250">
          <w:rPr>
            <w:noProof/>
            <w:webHidden/>
          </w:rPr>
          <w:instrText xml:space="preserve"> PAGEREF _Toc130195838 \h </w:instrText>
        </w:r>
        <w:r w:rsidR="00E07250">
          <w:rPr>
            <w:noProof/>
            <w:webHidden/>
          </w:rPr>
        </w:r>
        <w:r w:rsidR="00E07250">
          <w:rPr>
            <w:noProof/>
            <w:webHidden/>
          </w:rPr>
          <w:fldChar w:fldCharType="separate"/>
        </w:r>
        <w:r w:rsidR="00D83499">
          <w:rPr>
            <w:noProof/>
            <w:webHidden/>
          </w:rPr>
          <w:t>16</w:t>
        </w:r>
        <w:r w:rsidR="00E07250">
          <w:rPr>
            <w:noProof/>
            <w:webHidden/>
          </w:rPr>
          <w:fldChar w:fldCharType="end"/>
        </w:r>
      </w:hyperlink>
    </w:p>
    <w:p w14:paraId="69556033" w14:textId="77777777" w:rsidR="000B6585" w:rsidRDefault="000B6585">
      <w:pPr>
        <w:pStyle w:val="Tabledesillustrations"/>
        <w:tabs>
          <w:tab w:val="right" w:leader="dot" w:pos="9016"/>
        </w:tabs>
        <w:rPr>
          <w:noProof/>
          <w:color w:val="D90030"/>
          <w:sz w:val="24"/>
          <w:szCs w:val="28"/>
          <w:lang w:val="fr-BE"/>
        </w:rPr>
      </w:pPr>
      <w:r>
        <w:rPr>
          <w:noProof/>
          <w:color w:val="D90030"/>
          <w:sz w:val="24"/>
          <w:szCs w:val="28"/>
          <w:lang w:val="fr-BE"/>
        </w:rPr>
        <w:fldChar w:fldCharType="end"/>
      </w:r>
    </w:p>
    <w:p w14:paraId="0B5864AA" w14:textId="77777777" w:rsidR="000B6585" w:rsidRDefault="000B6585">
      <w:pPr>
        <w:pStyle w:val="Tabledesillustrations"/>
        <w:tabs>
          <w:tab w:val="right" w:leader="dot" w:pos="9016"/>
        </w:tabs>
        <w:rPr>
          <w:noProof/>
          <w:color w:val="D90030"/>
          <w:sz w:val="24"/>
          <w:szCs w:val="28"/>
          <w:lang w:val="fr-BE"/>
        </w:rPr>
      </w:pPr>
    </w:p>
    <w:p w14:paraId="591A82F5" w14:textId="33FAB9BA" w:rsidR="000B6585" w:rsidRDefault="000B6585">
      <w:pPr>
        <w:pStyle w:val="Tabledesillustrations"/>
        <w:tabs>
          <w:tab w:val="right" w:leader="dot" w:pos="9016"/>
        </w:tabs>
        <w:rPr>
          <w:noProof/>
          <w:color w:val="D90030"/>
          <w:sz w:val="24"/>
          <w:szCs w:val="28"/>
          <w:lang w:val="fr-BE"/>
        </w:rPr>
      </w:pPr>
      <w:r w:rsidRPr="00365CC3">
        <w:rPr>
          <w:color w:val="D90030"/>
          <w:sz w:val="40"/>
          <w:szCs w:val="40"/>
          <w:lang w:val="fr-BE"/>
        </w:rPr>
        <w:t xml:space="preserve">Table des </w:t>
      </w:r>
      <w:r>
        <w:rPr>
          <w:color w:val="D90030"/>
          <w:sz w:val="40"/>
          <w:szCs w:val="40"/>
          <w:lang w:val="fr-BE"/>
        </w:rPr>
        <w:t>tableaux</w:t>
      </w:r>
      <w:r>
        <w:rPr>
          <w:noProof/>
          <w:color w:val="D90030"/>
          <w:sz w:val="24"/>
          <w:szCs w:val="28"/>
          <w:lang w:val="fr-BE"/>
        </w:rPr>
        <w:t xml:space="preserve"> </w:t>
      </w:r>
    </w:p>
    <w:p w14:paraId="4B559D9E" w14:textId="77777777" w:rsidR="00A871FF" w:rsidRDefault="00A871FF" w:rsidP="008F24EB">
      <w:pPr>
        <w:pStyle w:val="Tabledesillustrations"/>
        <w:tabs>
          <w:tab w:val="right" w:leader="dot" w:pos="9016"/>
        </w:tabs>
        <w:spacing w:before="0" w:after="0"/>
        <w:rPr>
          <w:noProof/>
          <w:color w:val="D90030"/>
          <w:sz w:val="24"/>
          <w:szCs w:val="28"/>
          <w:lang w:val="fr-BE"/>
        </w:rPr>
      </w:pPr>
    </w:p>
    <w:p w14:paraId="69229F68" w14:textId="77777777" w:rsidR="00E07250" w:rsidRDefault="000B6585">
      <w:pPr>
        <w:pStyle w:val="Tabledesillustrations"/>
        <w:tabs>
          <w:tab w:val="right" w:leader="dot" w:pos="9016"/>
        </w:tabs>
        <w:rPr>
          <w:rFonts w:asciiTheme="minorHAnsi" w:eastAsiaTheme="minorEastAsia" w:hAnsiTheme="minorHAnsi"/>
          <w:noProof/>
          <w:sz w:val="22"/>
          <w:lang w:val="fr-BE" w:eastAsia="fr-BE"/>
        </w:rPr>
      </w:pPr>
      <w:r>
        <w:rPr>
          <w:noProof/>
          <w:color w:val="D90030"/>
          <w:sz w:val="24"/>
          <w:szCs w:val="28"/>
          <w:lang w:val="fr-BE"/>
        </w:rPr>
        <w:fldChar w:fldCharType="begin"/>
      </w:r>
      <w:r>
        <w:rPr>
          <w:noProof/>
          <w:color w:val="D90030"/>
          <w:sz w:val="24"/>
          <w:szCs w:val="28"/>
          <w:lang w:val="fr-BE"/>
        </w:rPr>
        <w:instrText xml:space="preserve"> TOC \h \z \t "Tableau" \c </w:instrText>
      </w:r>
      <w:r>
        <w:rPr>
          <w:noProof/>
          <w:color w:val="D90030"/>
          <w:sz w:val="24"/>
          <w:szCs w:val="28"/>
          <w:lang w:val="fr-BE"/>
        </w:rPr>
        <w:fldChar w:fldCharType="separate"/>
      </w:r>
      <w:hyperlink w:anchor="_Toc130195829" w:history="1">
        <w:r w:rsidR="00E07250" w:rsidRPr="00E6417F">
          <w:rPr>
            <w:rStyle w:val="Lienhypertexte"/>
            <w:noProof/>
          </w:rPr>
          <w:t>Tableau 1: Caractéristiques des affiliés de 70 ans et plus selon le moment de l’entrée en maison de repos, avant 2021 versus durant les six premiers mois de 2021</w:t>
        </w:r>
        <w:r w:rsidR="00E07250">
          <w:rPr>
            <w:noProof/>
            <w:webHidden/>
          </w:rPr>
          <w:tab/>
        </w:r>
        <w:r w:rsidR="00E07250">
          <w:rPr>
            <w:noProof/>
            <w:webHidden/>
          </w:rPr>
          <w:fldChar w:fldCharType="begin"/>
        </w:r>
        <w:r w:rsidR="00E07250">
          <w:rPr>
            <w:noProof/>
            <w:webHidden/>
          </w:rPr>
          <w:instrText xml:space="preserve"> PAGEREF _Toc130195829 \h </w:instrText>
        </w:r>
        <w:r w:rsidR="00E07250">
          <w:rPr>
            <w:noProof/>
            <w:webHidden/>
          </w:rPr>
        </w:r>
        <w:r w:rsidR="00E07250">
          <w:rPr>
            <w:noProof/>
            <w:webHidden/>
          </w:rPr>
          <w:fldChar w:fldCharType="separate"/>
        </w:r>
        <w:r w:rsidR="00D83499">
          <w:rPr>
            <w:noProof/>
            <w:webHidden/>
          </w:rPr>
          <w:t>7</w:t>
        </w:r>
        <w:r w:rsidR="00E07250">
          <w:rPr>
            <w:noProof/>
            <w:webHidden/>
          </w:rPr>
          <w:fldChar w:fldCharType="end"/>
        </w:r>
      </w:hyperlink>
    </w:p>
    <w:p w14:paraId="704A39A9"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0" w:history="1">
        <w:r w:rsidR="00E07250" w:rsidRPr="00E6417F">
          <w:rPr>
            <w:rStyle w:val="Lienhypertexte"/>
            <w:noProof/>
          </w:rPr>
          <w:t>Tableau 2 : Molécules sélectionnées pour les personnes âgées de 70 ans et plus (nombre d’affiliés et DDD), 2021</w:t>
        </w:r>
        <w:r w:rsidR="00E07250">
          <w:rPr>
            <w:noProof/>
            <w:webHidden/>
          </w:rPr>
          <w:tab/>
        </w:r>
        <w:r w:rsidR="00E07250">
          <w:rPr>
            <w:noProof/>
            <w:webHidden/>
          </w:rPr>
          <w:fldChar w:fldCharType="begin"/>
        </w:r>
        <w:r w:rsidR="00E07250">
          <w:rPr>
            <w:noProof/>
            <w:webHidden/>
          </w:rPr>
          <w:instrText xml:space="preserve"> PAGEREF _Toc130195830 \h </w:instrText>
        </w:r>
        <w:r w:rsidR="00E07250">
          <w:rPr>
            <w:noProof/>
            <w:webHidden/>
          </w:rPr>
        </w:r>
        <w:r w:rsidR="00E07250">
          <w:rPr>
            <w:noProof/>
            <w:webHidden/>
          </w:rPr>
          <w:fldChar w:fldCharType="separate"/>
        </w:r>
        <w:r w:rsidR="00D83499">
          <w:rPr>
            <w:noProof/>
            <w:webHidden/>
          </w:rPr>
          <w:t>8</w:t>
        </w:r>
        <w:r w:rsidR="00E07250">
          <w:rPr>
            <w:noProof/>
            <w:webHidden/>
          </w:rPr>
          <w:fldChar w:fldCharType="end"/>
        </w:r>
      </w:hyperlink>
    </w:p>
    <w:p w14:paraId="6A930346"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1" w:history="1">
        <w:r w:rsidR="00E07250" w:rsidRPr="00E6417F">
          <w:rPr>
            <w:rStyle w:val="Lienhypertexte"/>
            <w:noProof/>
          </w:rPr>
          <w:t>Tableau 3: Consommation par type de médicaments pour les personnes âgées de 70 ans et plus et pour celles de moins de 70 ans (nombre et % de DDD), 2021</w:t>
        </w:r>
        <w:r w:rsidR="00E07250">
          <w:rPr>
            <w:noProof/>
            <w:webHidden/>
          </w:rPr>
          <w:tab/>
        </w:r>
        <w:r w:rsidR="00E07250">
          <w:rPr>
            <w:noProof/>
            <w:webHidden/>
          </w:rPr>
          <w:fldChar w:fldCharType="begin"/>
        </w:r>
        <w:r w:rsidR="00E07250">
          <w:rPr>
            <w:noProof/>
            <w:webHidden/>
          </w:rPr>
          <w:instrText xml:space="preserve"> PAGEREF _Toc130195831 \h </w:instrText>
        </w:r>
        <w:r w:rsidR="00E07250">
          <w:rPr>
            <w:noProof/>
            <w:webHidden/>
          </w:rPr>
        </w:r>
        <w:r w:rsidR="00E07250">
          <w:rPr>
            <w:noProof/>
            <w:webHidden/>
          </w:rPr>
          <w:fldChar w:fldCharType="separate"/>
        </w:r>
        <w:r w:rsidR="00D83499">
          <w:rPr>
            <w:noProof/>
            <w:webHidden/>
          </w:rPr>
          <w:t>9</w:t>
        </w:r>
        <w:r w:rsidR="00E07250">
          <w:rPr>
            <w:noProof/>
            <w:webHidden/>
          </w:rPr>
          <w:fldChar w:fldCharType="end"/>
        </w:r>
      </w:hyperlink>
    </w:p>
    <w:p w14:paraId="24F19070"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2" w:history="1">
        <w:r w:rsidR="00E07250" w:rsidRPr="00E6417F">
          <w:rPr>
            <w:rStyle w:val="Lienhypertexte"/>
            <w:noProof/>
          </w:rPr>
          <w:t>Tableau 4 : Délivrance de DDD six mois avant et six mois après l'entrée en maison de repos par type de médicament, 2020-2021</w:t>
        </w:r>
        <w:r w:rsidR="00E07250">
          <w:rPr>
            <w:noProof/>
            <w:webHidden/>
          </w:rPr>
          <w:tab/>
        </w:r>
        <w:r w:rsidR="00E07250">
          <w:rPr>
            <w:noProof/>
            <w:webHidden/>
          </w:rPr>
          <w:fldChar w:fldCharType="begin"/>
        </w:r>
        <w:r w:rsidR="00E07250">
          <w:rPr>
            <w:noProof/>
            <w:webHidden/>
          </w:rPr>
          <w:instrText xml:space="preserve"> PAGEREF _Toc130195832 \h </w:instrText>
        </w:r>
        <w:r w:rsidR="00E07250">
          <w:rPr>
            <w:noProof/>
            <w:webHidden/>
          </w:rPr>
        </w:r>
        <w:r w:rsidR="00E07250">
          <w:rPr>
            <w:noProof/>
            <w:webHidden/>
          </w:rPr>
          <w:fldChar w:fldCharType="separate"/>
        </w:r>
        <w:r w:rsidR="00D83499">
          <w:rPr>
            <w:noProof/>
            <w:webHidden/>
          </w:rPr>
          <w:t>12</w:t>
        </w:r>
        <w:r w:rsidR="00E07250">
          <w:rPr>
            <w:noProof/>
            <w:webHidden/>
          </w:rPr>
          <w:fldChar w:fldCharType="end"/>
        </w:r>
      </w:hyperlink>
    </w:p>
    <w:p w14:paraId="623EE3C4"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3" w:history="1">
        <w:r w:rsidR="00E07250" w:rsidRPr="00E6417F">
          <w:rPr>
            <w:rStyle w:val="Lienhypertexte"/>
            <w:noProof/>
          </w:rPr>
          <w:t>Tableau 5 : Distribution des affiliés selon le nombre de systèmes (ATC-1er niveau) traités par affilié 6 mois avant et 6 mois après l’entrée en maison de repos, 2020-2021</w:t>
        </w:r>
        <w:r w:rsidR="00E07250">
          <w:rPr>
            <w:noProof/>
            <w:webHidden/>
          </w:rPr>
          <w:tab/>
        </w:r>
        <w:r w:rsidR="00E07250">
          <w:rPr>
            <w:noProof/>
            <w:webHidden/>
          </w:rPr>
          <w:fldChar w:fldCharType="begin"/>
        </w:r>
        <w:r w:rsidR="00E07250">
          <w:rPr>
            <w:noProof/>
            <w:webHidden/>
          </w:rPr>
          <w:instrText xml:space="preserve"> PAGEREF _Toc130195833 \h </w:instrText>
        </w:r>
        <w:r w:rsidR="00E07250">
          <w:rPr>
            <w:noProof/>
            <w:webHidden/>
          </w:rPr>
        </w:r>
        <w:r w:rsidR="00E07250">
          <w:rPr>
            <w:noProof/>
            <w:webHidden/>
          </w:rPr>
          <w:fldChar w:fldCharType="separate"/>
        </w:r>
        <w:r w:rsidR="00D83499">
          <w:rPr>
            <w:noProof/>
            <w:webHidden/>
          </w:rPr>
          <w:t>13</w:t>
        </w:r>
        <w:r w:rsidR="00E07250">
          <w:rPr>
            <w:noProof/>
            <w:webHidden/>
          </w:rPr>
          <w:fldChar w:fldCharType="end"/>
        </w:r>
      </w:hyperlink>
    </w:p>
    <w:p w14:paraId="21B4B032"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4" w:history="1">
        <w:r w:rsidR="00E07250" w:rsidRPr="00E6417F">
          <w:rPr>
            <w:rStyle w:val="Lienhypertexte"/>
            <w:noProof/>
          </w:rPr>
          <w:t>Tableau 6 : Distribution des affiliés selon le nombre de systèmes (ATC-4ème niveau) traités par affilié 6 mois avant et 6 mois après l’entrée en maison de repos, 2020-2021</w:t>
        </w:r>
        <w:r w:rsidR="00E07250">
          <w:rPr>
            <w:noProof/>
            <w:webHidden/>
          </w:rPr>
          <w:tab/>
        </w:r>
        <w:r w:rsidR="00E07250">
          <w:rPr>
            <w:noProof/>
            <w:webHidden/>
          </w:rPr>
          <w:fldChar w:fldCharType="begin"/>
        </w:r>
        <w:r w:rsidR="00E07250">
          <w:rPr>
            <w:noProof/>
            <w:webHidden/>
          </w:rPr>
          <w:instrText xml:space="preserve"> PAGEREF _Toc130195834 \h </w:instrText>
        </w:r>
        <w:r w:rsidR="00E07250">
          <w:rPr>
            <w:noProof/>
            <w:webHidden/>
          </w:rPr>
        </w:r>
        <w:r w:rsidR="00E07250">
          <w:rPr>
            <w:noProof/>
            <w:webHidden/>
          </w:rPr>
          <w:fldChar w:fldCharType="separate"/>
        </w:r>
        <w:r w:rsidR="00D83499">
          <w:rPr>
            <w:noProof/>
            <w:webHidden/>
          </w:rPr>
          <w:t>13</w:t>
        </w:r>
        <w:r w:rsidR="00E07250">
          <w:rPr>
            <w:noProof/>
            <w:webHidden/>
          </w:rPr>
          <w:fldChar w:fldCharType="end"/>
        </w:r>
      </w:hyperlink>
    </w:p>
    <w:p w14:paraId="2BD82769"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5" w:history="1">
        <w:r w:rsidR="00E07250" w:rsidRPr="00E6417F">
          <w:rPr>
            <w:rStyle w:val="Lienhypertexte"/>
            <w:noProof/>
          </w:rPr>
          <w:t>Tableau 7 : Nombre et proportion de personnes sous traitement avant et après l’entrée en maison de repos par type de médicament, 2020-2021</w:t>
        </w:r>
        <w:r w:rsidR="00E07250">
          <w:rPr>
            <w:noProof/>
            <w:webHidden/>
          </w:rPr>
          <w:tab/>
        </w:r>
        <w:r w:rsidR="00E07250">
          <w:rPr>
            <w:noProof/>
            <w:webHidden/>
          </w:rPr>
          <w:fldChar w:fldCharType="begin"/>
        </w:r>
        <w:r w:rsidR="00E07250">
          <w:rPr>
            <w:noProof/>
            <w:webHidden/>
          </w:rPr>
          <w:instrText xml:space="preserve"> PAGEREF _Toc130195835 \h </w:instrText>
        </w:r>
        <w:r w:rsidR="00E07250">
          <w:rPr>
            <w:noProof/>
            <w:webHidden/>
          </w:rPr>
        </w:r>
        <w:r w:rsidR="00E07250">
          <w:rPr>
            <w:noProof/>
            <w:webHidden/>
          </w:rPr>
          <w:fldChar w:fldCharType="separate"/>
        </w:r>
        <w:r w:rsidR="00D83499">
          <w:rPr>
            <w:noProof/>
            <w:webHidden/>
          </w:rPr>
          <w:t>14</w:t>
        </w:r>
        <w:r w:rsidR="00E07250">
          <w:rPr>
            <w:noProof/>
            <w:webHidden/>
          </w:rPr>
          <w:fldChar w:fldCharType="end"/>
        </w:r>
      </w:hyperlink>
    </w:p>
    <w:p w14:paraId="1E6CB84B" w14:textId="77777777" w:rsidR="00E07250" w:rsidRDefault="00000000">
      <w:pPr>
        <w:pStyle w:val="Tabledesillustrations"/>
        <w:tabs>
          <w:tab w:val="right" w:leader="dot" w:pos="9016"/>
        </w:tabs>
        <w:rPr>
          <w:rFonts w:asciiTheme="minorHAnsi" w:eastAsiaTheme="minorEastAsia" w:hAnsiTheme="minorHAnsi"/>
          <w:noProof/>
          <w:sz w:val="22"/>
          <w:lang w:val="fr-BE" w:eastAsia="fr-BE"/>
        </w:rPr>
      </w:pPr>
      <w:hyperlink w:anchor="_Toc130195836" w:history="1">
        <w:r w:rsidR="00E07250" w:rsidRPr="00E6417F">
          <w:rPr>
            <w:rStyle w:val="Lienhypertexte"/>
            <w:noProof/>
          </w:rPr>
          <w:t>Tableau 8 : Nombre et pourcentage de  personnes sous traitement avant et après l’entrée en maison de repos par type de médicament, 2020-2021</w:t>
        </w:r>
        <w:r w:rsidR="00E07250">
          <w:rPr>
            <w:noProof/>
            <w:webHidden/>
          </w:rPr>
          <w:tab/>
        </w:r>
        <w:r w:rsidR="00E07250">
          <w:rPr>
            <w:noProof/>
            <w:webHidden/>
          </w:rPr>
          <w:fldChar w:fldCharType="begin"/>
        </w:r>
        <w:r w:rsidR="00E07250">
          <w:rPr>
            <w:noProof/>
            <w:webHidden/>
          </w:rPr>
          <w:instrText xml:space="preserve"> PAGEREF _Toc130195836 \h </w:instrText>
        </w:r>
        <w:r w:rsidR="00E07250">
          <w:rPr>
            <w:noProof/>
            <w:webHidden/>
          </w:rPr>
        </w:r>
        <w:r w:rsidR="00E07250">
          <w:rPr>
            <w:noProof/>
            <w:webHidden/>
          </w:rPr>
          <w:fldChar w:fldCharType="separate"/>
        </w:r>
        <w:r w:rsidR="00D83499">
          <w:rPr>
            <w:noProof/>
            <w:webHidden/>
          </w:rPr>
          <w:t>15</w:t>
        </w:r>
        <w:r w:rsidR="00E07250">
          <w:rPr>
            <w:noProof/>
            <w:webHidden/>
          </w:rPr>
          <w:fldChar w:fldCharType="end"/>
        </w:r>
      </w:hyperlink>
    </w:p>
    <w:p w14:paraId="61A5CC5C" w14:textId="2DF65746" w:rsidR="006D0C21" w:rsidRDefault="000B6585">
      <w:pPr>
        <w:rPr>
          <w:lang w:val="fr-BE"/>
        </w:rPr>
      </w:pPr>
      <w:r>
        <w:rPr>
          <w:noProof/>
          <w:color w:val="D90030"/>
          <w:sz w:val="24"/>
          <w:szCs w:val="28"/>
          <w:lang w:val="fr-BE"/>
        </w:rPr>
        <w:fldChar w:fldCharType="end"/>
      </w:r>
    </w:p>
    <w:p w14:paraId="14D18B59" w14:textId="14C86018" w:rsidR="006D0C21" w:rsidRDefault="006D0C21">
      <w:pPr>
        <w:rPr>
          <w:lang w:val="fr-BE"/>
        </w:rPr>
      </w:pPr>
      <w:r>
        <w:rPr>
          <w:lang w:val="fr-BE"/>
        </w:rPr>
        <w:br w:type="page"/>
      </w:r>
    </w:p>
    <w:p w14:paraId="02EDC989" w14:textId="564FE0DE" w:rsidR="007C77E5" w:rsidRPr="00365CC3" w:rsidRDefault="008426ED" w:rsidP="00991EF4">
      <w:pPr>
        <w:pStyle w:val="Titre1"/>
        <w:ind w:left="0" w:firstLine="0"/>
        <w:rPr>
          <w:lang w:val="fr-BE"/>
        </w:rPr>
      </w:pPr>
      <w:bookmarkStart w:id="0" w:name="_Toc130195917"/>
      <w:r w:rsidRPr="00365CC3">
        <w:rPr>
          <w:lang w:val="fr-BE"/>
        </w:rPr>
        <w:lastRenderedPageBreak/>
        <w:t>In</w:t>
      </w:r>
      <w:r w:rsidR="005E3AB8" w:rsidRPr="00365CC3">
        <w:rPr>
          <w:lang w:val="fr-BE"/>
        </w:rPr>
        <w:t>troduction</w:t>
      </w:r>
      <w:bookmarkEnd w:id="0"/>
    </w:p>
    <w:p w14:paraId="6A2EBBDB" w14:textId="77777777" w:rsidR="00961297" w:rsidRPr="00365CC3" w:rsidRDefault="00961297" w:rsidP="00991EF4">
      <w:pPr>
        <w:spacing w:after="0" w:line="240" w:lineRule="auto"/>
        <w:rPr>
          <w:lang w:val="fr-BE"/>
        </w:rPr>
      </w:pPr>
    </w:p>
    <w:p w14:paraId="0DBE89FA" w14:textId="77777777" w:rsidR="005E3AB8" w:rsidRPr="00365CC3" w:rsidRDefault="005E3AB8" w:rsidP="00991EF4">
      <w:pPr>
        <w:spacing w:after="0"/>
        <w:jc w:val="both"/>
        <w:rPr>
          <w:rFonts w:cs="Arial"/>
          <w:szCs w:val="20"/>
          <w:lang w:val="fr-BE"/>
        </w:rPr>
      </w:pPr>
      <w:r w:rsidRPr="00365CC3">
        <w:rPr>
          <w:rFonts w:cs="Arial"/>
          <w:szCs w:val="20"/>
          <w:lang w:val="fr-BE"/>
        </w:rPr>
        <w:t xml:space="preserve">En matière de soins de santé, les médicaments ont toujours constitué un sujet de préoccupation dans notre pays, que ce soit pour des raisons de santé publique et de questions liées à la surconsommation de certains types de médicaments, mais aussi pour des raisons budgétaires et d’accessibilité aux soins. </w:t>
      </w:r>
    </w:p>
    <w:p w14:paraId="61BFE2DB" w14:textId="77777777" w:rsidR="005E3AB8" w:rsidRPr="00365CC3" w:rsidRDefault="005E3AB8" w:rsidP="00991EF4">
      <w:pPr>
        <w:spacing w:after="0"/>
        <w:jc w:val="both"/>
        <w:rPr>
          <w:rFonts w:cs="Arial"/>
          <w:szCs w:val="20"/>
          <w:lang w:val="fr-BE"/>
        </w:rPr>
      </w:pPr>
    </w:p>
    <w:p w14:paraId="196EDDC1" w14:textId="648B7D4D" w:rsidR="005E3AB8" w:rsidRPr="00365CC3" w:rsidRDefault="005E3AB8" w:rsidP="00991EF4">
      <w:pPr>
        <w:spacing w:after="0"/>
        <w:jc w:val="both"/>
        <w:rPr>
          <w:rFonts w:cs="Arial"/>
          <w:szCs w:val="20"/>
          <w:lang w:val="fr-BE"/>
        </w:rPr>
      </w:pPr>
      <w:r w:rsidRPr="00365CC3">
        <w:rPr>
          <w:rFonts w:cs="Arial"/>
          <w:szCs w:val="20"/>
          <w:lang w:val="fr-BE"/>
        </w:rPr>
        <w:t>Le Belge dépense ainsi en moyenne 5</w:t>
      </w:r>
      <w:r w:rsidR="00C5161E">
        <w:rPr>
          <w:rFonts w:cs="Arial"/>
          <w:szCs w:val="20"/>
          <w:lang w:val="fr-BE"/>
        </w:rPr>
        <w:t>98 dollars</w:t>
      </w:r>
      <w:r w:rsidR="00571EEA" w:rsidRPr="00365CC3">
        <w:rPr>
          <w:rStyle w:val="Appelnotedebasdep"/>
          <w:rFonts w:cs="Arial"/>
          <w:szCs w:val="20"/>
          <w:lang w:val="fr-BE"/>
        </w:rPr>
        <w:footnoteReference w:id="2"/>
      </w:r>
      <w:r w:rsidR="00571EEA" w:rsidRPr="00365CC3">
        <w:rPr>
          <w:rFonts w:cs="Arial"/>
          <w:szCs w:val="20"/>
          <w:lang w:val="fr-BE"/>
        </w:rPr>
        <w:t xml:space="preserve"> </w:t>
      </w:r>
      <w:r w:rsidRPr="00365CC3">
        <w:rPr>
          <w:rFonts w:cs="Arial"/>
          <w:szCs w:val="20"/>
          <w:lang w:val="fr-BE"/>
        </w:rPr>
        <w:t xml:space="preserve">pour ses médicaments (dont </w:t>
      </w:r>
      <w:r w:rsidR="00C5161E">
        <w:rPr>
          <w:rFonts w:cs="Arial"/>
          <w:szCs w:val="20"/>
          <w:lang w:val="fr-BE"/>
        </w:rPr>
        <w:t>513</w:t>
      </w:r>
      <w:r w:rsidR="009A40AE">
        <w:rPr>
          <w:rFonts w:cs="Arial"/>
          <w:szCs w:val="20"/>
          <w:lang w:val="fr-BE"/>
        </w:rPr>
        <w:t xml:space="preserve"> </w:t>
      </w:r>
      <w:r w:rsidR="00516894">
        <w:rPr>
          <w:rFonts w:cs="Arial"/>
          <w:szCs w:val="20"/>
          <w:lang w:val="fr-BE"/>
        </w:rPr>
        <w:t>dollars</w:t>
      </w:r>
      <w:r w:rsidRPr="00365CC3">
        <w:rPr>
          <w:rFonts w:cs="Arial"/>
          <w:szCs w:val="20"/>
          <w:lang w:val="fr-BE"/>
        </w:rPr>
        <w:t xml:space="preserve"> pour les médicaments prescrits</w:t>
      </w:r>
      <w:r w:rsidRPr="00365CC3">
        <w:rPr>
          <w:rStyle w:val="Appelnotedebasdep"/>
          <w:rFonts w:cs="Arial"/>
          <w:szCs w:val="20"/>
          <w:lang w:val="fr-BE"/>
        </w:rPr>
        <w:footnoteReference w:id="3"/>
      </w:r>
      <w:r w:rsidRPr="00365CC3">
        <w:rPr>
          <w:rFonts w:cs="Arial"/>
          <w:szCs w:val="20"/>
          <w:lang w:val="fr-BE"/>
        </w:rPr>
        <w:t>) en 2019 ; notre pays se situant parmi le top 10 des pays européens de l’OCDE qui dépensent le plus pour ce poste de dépenses de santé</w:t>
      </w:r>
      <w:r w:rsidR="00E71212" w:rsidRPr="00365CC3">
        <w:rPr>
          <w:rFonts w:cs="Arial"/>
          <w:szCs w:val="20"/>
          <w:lang w:val="fr-BE"/>
        </w:rPr>
        <w:t xml:space="preserve"> alors que la moyenne est de 5</w:t>
      </w:r>
      <w:r w:rsidR="00C5161E">
        <w:rPr>
          <w:rFonts w:cs="Arial"/>
          <w:szCs w:val="20"/>
          <w:lang w:val="fr-BE"/>
        </w:rPr>
        <w:t>71</w:t>
      </w:r>
      <w:r w:rsidR="009A40AE">
        <w:rPr>
          <w:rFonts w:cs="Arial"/>
          <w:szCs w:val="20"/>
          <w:lang w:val="fr-BE"/>
        </w:rPr>
        <w:t xml:space="preserve"> </w:t>
      </w:r>
      <w:r w:rsidR="00516894">
        <w:rPr>
          <w:rFonts w:cs="Arial"/>
          <w:szCs w:val="20"/>
          <w:lang w:val="fr-BE"/>
        </w:rPr>
        <w:t>dollars</w:t>
      </w:r>
      <w:r w:rsidR="00E71212" w:rsidRPr="00365CC3">
        <w:rPr>
          <w:rFonts w:cs="Arial"/>
          <w:szCs w:val="20"/>
          <w:lang w:val="fr-BE"/>
        </w:rPr>
        <w:t xml:space="preserve"> au niveau de l’ensemble des pays de l’OCDE (OCDE-33)</w:t>
      </w:r>
      <w:r w:rsidRPr="00365CC3">
        <w:rPr>
          <w:rStyle w:val="Appelnotedebasdep"/>
          <w:rFonts w:cs="Arial"/>
          <w:szCs w:val="20"/>
          <w:lang w:val="fr-BE"/>
        </w:rPr>
        <w:footnoteReference w:id="4"/>
      </w:r>
      <w:r w:rsidRPr="00365CC3">
        <w:rPr>
          <w:rFonts w:cs="Arial"/>
          <w:szCs w:val="20"/>
          <w:lang w:val="fr-BE"/>
        </w:rPr>
        <w:t>. Comme les autres dépenses de santé, cette consommation de médicaments</w:t>
      </w:r>
      <w:r w:rsidR="00C05FC0" w:rsidRPr="00365CC3">
        <w:rPr>
          <w:rStyle w:val="Appelnotedebasdep"/>
          <w:rFonts w:cs="Arial"/>
          <w:szCs w:val="20"/>
          <w:lang w:val="fr-BE"/>
        </w:rPr>
        <w:footnoteReference w:id="5"/>
      </w:r>
      <w:r w:rsidRPr="00365CC3">
        <w:rPr>
          <w:rFonts w:cs="Arial"/>
          <w:szCs w:val="20"/>
          <w:lang w:val="fr-BE"/>
        </w:rPr>
        <w:t xml:space="preserve"> se concentre principalement sur la population âgée : un médicament sur </w:t>
      </w:r>
      <w:r w:rsidR="00C05FC0" w:rsidRPr="00365CC3">
        <w:rPr>
          <w:rFonts w:cs="Arial"/>
          <w:szCs w:val="20"/>
          <w:lang w:val="fr-BE"/>
        </w:rPr>
        <w:t>quatre</w:t>
      </w:r>
      <w:r w:rsidRPr="00365CC3">
        <w:rPr>
          <w:rFonts w:cs="Arial"/>
          <w:szCs w:val="20"/>
          <w:lang w:val="fr-BE"/>
        </w:rPr>
        <w:t xml:space="preserve"> est consommé par les personnes âgées de 7</w:t>
      </w:r>
      <w:r w:rsidR="00C05FC0" w:rsidRPr="00365CC3">
        <w:rPr>
          <w:rFonts w:cs="Arial"/>
          <w:szCs w:val="20"/>
          <w:lang w:val="fr-BE"/>
        </w:rPr>
        <w:t>5</w:t>
      </w:r>
      <w:r w:rsidRPr="00365CC3">
        <w:rPr>
          <w:rFonts w:cs="Arial"/>
          <w:szCs w:val="20"/>
          <w:lang w:val="fr-BE"/>
        </w:rPr>
        <w:t xml:space="preserve"> ans et plus</w:t>
      </w:r>
      <w:r w:rsidRPr="00365CC3">
        <w:rPr>
          <w:rStyle w:val="Appelnotedebasdep"/>
          <w:rFonts w:cs="Arial"/>
          <w:szCs w:val="20"/>
          <w:lang w:val="fr-BE"/>
        </w:rPr>
        <w:footnoteReference w:id="6"/>
      </w:r>
      <w:r w:rsidR="00587764">
        <w:rPr>
          <w:rFonts w:cs="Arial"/>
          <w:szCs w:val="20"/>
          <w:lang w:val="fr-BE"/>
        </w:rPr>
        <w:t xml:space="preserve">, ces dernières représentant </w:t>
      </w:r>
      <w:r w:rsidR="00C05FC0" w:rsidRPr="00365CC3">
        <w:rPr>
          <w:rFonts w:cs="Arial"/>
          <w:szCs w:val="20"/>
          <w:lang w:val="fr-BE"/>
        </w:rPr>
        <w:t>8% de la population</w:t>
      </w:r>
      <w:r w:rsidR="006E00F4" w:rsidRPr="00365CC3">
        <w:rPr>
          <w:rStyle w:val="Appelnotedebasdep"/>
          <w:rFonts w:cs="Arial"/>
          <w:szCs w:val="20"/>
          <w:lang w:val="fr-BE"/>
        </w:rPr>
        <w:footnoteReference w:id="7"/>
      </w:r>
      <w:r w:rsidRPr="00365CC3">
        <w:rPr>
          <w:rFonts w:cs="Arial"/>
          <w:szCs w:val="20"/>
          <w:lang w:val="fr-BE"/>
        </w:rPr>
        <w:t>. La question de la consommation de médicaments des personnes âgées est d’autant plus importante compte tenu du vieillissement de la population</w:t>
      </w:r>
      <w:r w:rsidR="007D129B" w:rsidRPr="00365CC3">
        <w:rPr>
          <w:rFonts w:cs="Arial"/>
          <w:szCs w:val="20"/>
          <w:lang w:val="fr-BE"/>
        </w:rPr>
        <w:t xml:space="preserve"> qui aura pour impact d’augmenter cette consommation</w:t>
      </w:r>
      <w:r w:rsidRPr="00365CC3">
        <w:rPr>
          <w:rFonts w:cs="Arial"/>
          <w:szCs w:val="20"/>
          <w:lang w:val="fr-BE"/>
        </w:rPr>
        <w:t>.</w:t>
      </w:r>
      <w:r w:rsidR="007D129B" w:rsidRPr="00365CC3">
        <w:rPr>
          <w:rFonts w:cs="Arial"/>
          <w:szCs w:val="20"/>
          <w:lang w:val="fr-BE"/>
        </w:rPr>
        <w:t xml:space="preserve"> Il est donc primordial de surveiller la consommation de médicaments chez les personnes âgées.</w:t>
      </w:r>
    </w:p>
    <w:p w14:paraId="4D3DE1B2" w14:textId="77777777" w:rsidR="005E3AB8" w:rsidRPr="00365CC3" w:rsidRDefault="005E3AB8" w:rsidP="00991EF4">
      <w:pPr>
        <w:spacing w:after="0"/>
        <w:jc w:val="both"/>
        <w:rPr>
          <w:rFonts w:cs="Arial"/>
          <w:szCs w:val="20"/>
          <w:lang w:val="fr-BE"/>
        </w:rPr>
      </w:pPr>
    </w:p>
    <w:p w14:paraId="5A08466D" w14:textId="77777777" w:rsidR="005E3AB8" w:rsidRPr="00365CC3" w:rsidRDefault="005E3AB8" w:rsidP="00991EF4">
      <w:pPr>
        <w:spacing w:after="0"/>
        <w:jc w:val="both"/>
        <w:rPr>
          <w:rFonts w:cs="Arial"/>
          <w:szCs w:val="20"/>
          <w:lang w:val="fr-BE"/>
        </w:rPr>
      </w:pPr>
      <w:r w:rsidRPr="00365CC3">
        <w:rPr>
          <w:rFonts w:cs="Arial"/>
          <w:szCs w:val="20"/>
          <w:lang w:val="fr-BE"/>
        </w:rPr>
        <w:t>Plus spécifiquement, un certain nombre d’études</w:t>
      </w:r>
      <w:r w:rsidRPr="00365CC3">
        <w:rPr>
          <w:rStyle w:val="Appelnotedebasdep"/>
          <w:rFonts w:cs="Arial"/>
          <w:szCs w:val="20"/>
          <w:lang w:val="fr-BE"/>
        </w:rPr>
        <w:footnoteReference w:id="8"/>
      </w:r>
      <w:r w:rsidRPr="00365CC3">
        <w:rPr>
          <w:rFonts w:cs="Arial"/>
          <w:szCs w:val="20"/>
          <w:lang w:val="fr-BE"/>
        </w:rPr>
        <w:t xml:space="preserve"> se sont attachées à étudier la consommation de médicaments des personnes âgées, en particulier celles résidant en maison de repos dans la mesure où elles semblent concentrer une part plus importante des dépenses. Outre une consommation élevée, surtout d’antidépresseurs et d’antipsychotiques, ces études mettaient en évidence des problèmes de qualité liés à la polymédication (interactions et contre-indications, sur ou sous-prescription potentielle selon les affections traitées, utilisation de médicaments dont l’efficacité est insuffisamment démontrée) ainsi que de grandes variabilités dans l’utilisation des médicaments entre institutions. Mais ces recherches étaient principalement basées sur une comparaison de la consommation des personnes âgées résidant à domicile et en maison de repos sans tenir compte du fait que les profils de ces deux populations sont sensiblement différents.</w:t>
      </w:r>
    </w:p>
    <w:p w14:paraId="0A82987F" w14:textId="77777777" w:rsidR="005E3AB8" w:rsidRPr="00365CC3" w:rsidRDefault="005E3AB8" w:rsidP="007C77E5">
      <w:pPr>
        <w:spacing w:after="0"/>
        <w:ind w:left="567"/>
        <w:jc w:val="both"/>
        <w:rPr>
          <w:rFonts w:cs="Arial"/>
          <w:szCs w:val="20"/>
          <w:lang w:val="fr-BE"/>
        </w:rPr>
      </w:pPr>
    </w:p>
    <w:p w14:paraId="4F20EBE5" w14:textId="7B19463E" w:rsidR="005E3AB8" w:rsidRPr="00365CC3" w:rsidRDefault="005E3AB8" w:rsidP="00991EF4">
      <w:pPr>
        <w:spacing w:after="0"/>
        <w:jc w:val="both"/>
        <w:rPr>
          <w:rFonts w:cs="Arial"/>
          <w:szCs w:val="20"/>
          <w:lang w:val="fr-BE"/>
        </w:rPr>
      </w:pPr>
      <w:r w:rsidRPr="00365CC3">
        <w:rPr>
          <w:rFonts w:cs="Arial"/>
          <w:szCs w:val="20"/>
          <w:lang w:val="fr-BE"/>
        </w:rPr>
        <w:t>Solidaris s’est ainsi penché sur cette question il y a dix ans en analysant la consommation de médicaments en maison de repos pour nuancer ces recherches</w:t>
      </w:r>
      <w:r w:rsidRPr="00365CC3">
        <w:rPr>
          <w:rStyle w:val="Appelnotedebasdep"/>
          <w:rFonts w:cs="Arial"/>
          <w:szCs w:val="20"/>
          <w:lang w:val="fr-BE"/>
        </w:rPr>
        <w:footnoteReference w:id="9"/>
      </w:r>
      <w:r w:rsidRPr="00365CC3">
        <w:rPr>
          <w:rFonts w:cs="Arial"/>
          <w:szCs w:val="20"/>
          <w:lang w:val="fr-BE"/>
        </w:rPr>
        <w:t>. Nous avions ainsi montré qu’il y avait proportionnellement plus de personnes âgées en maison de repos, plus de femmes, plus de bénéficiaires de l’intervention majorée (BIM)</w:t>
      </w:r>
      <w:r w:rsidR="003D3867" w:rsidRPr="00365CC3">
        <w:rPr>
          <w:rStyle w:val="Appelnotedebasdep"/>
          <w:rFonts w:cs="Arial"/>
          <w:szCs w:val="20"/>
          <w:lang w:val="fr-BE"/>
        </w:rPr>
        <w:footnoteReference w:id="10"/>
      </w:r>
      <w:r w:rsidRPr="00365CC3">
        <w:rPr>
          <w:rFonts w:cs="Arial"/>
          <w:szCs w:val="20"/>
          <w:lang w:val="fr-BE"/>
        </w:rPr>
        <w:t xml:space="preserve"> et de malades chroniques et que le taux de mortalité était cinq fois plus grand en maison de repos. Nous avions par ailleurs objectivé la situation en analysant la consommation de médicaments de manière longitudinale, c’est-à-dire en suivant une cohorte d’affiliés de 70 ans et plus six mois avant et six mois après leur entrée en maison de repos afin d’étudier leur consommation de médicaments au cours du temps et de pouvoir isoler la part de la consommation liée à l’institutionnalisation. </w:t>
      </w:r>
    </w:p>
    <w:p w14:paraId="6C9B9DC5" w14:textId="0F98B986" w:rsidR="004D1997" w:rsidRPr="00365CC3" w:rsidRDefault="005E3AB8" w:rsidP="00A51094">
      <w:pPr>
        <w:spacing w:after="0"/>
        <w:jc w:val="both"/>
        <w:rPr>
          <w:rFonts w:cs="Arial"/>
          <w:szCs w:val="20"/>
          <w:lang w:val="fr-BE"/>
        </w:rPr>
      </w:pPr>
      <w:r w:rsidRPr="00365CC3">
        <w:rPr>
          <w:rFonts w:cs="Arial"/>
          <w:szCs w:val="20"/>
          <w:lang w:val="fr-BE"/>
        </w:rPr>
        <w:lastRenderedPageBreak/>
        <w:t xml:space="preserve">Cette étude a pour objectif d’actualiser </w:t>
      </w:r>
      <w:r w:rsidR="004D1997" w:rsidRPr="00365CC3">
        <w:rPr>
          <w:rFonts w:cs="Arial"/>
          <w:szCs w:val="20"/>
          <w:lang w:val="fr-BE"/>
        </w:rPr>
        <w:t>l’</w:t>
      </w:r>
      <w:r w:rsidRPr="00365CC3">
        <w:rPr>
          <w:rFonts w:cs="Arial"/>
          <w:szCs w:val="20"/>
          <w:lang w:val="fr-BE"/>
        </w:rPr>
        <w:t xml:space="preserve">analyse </w:t>
      </w:r>
      <w:r w:rsidR="004D1997" w:rsidRPr="00365CC3">
        <w:rPr>
          <w:rFonts w:cs="Arial"/>
          <w:szCs w:val="20"/>
          <w:lang w:val="fr-BE"/>
        </w:rPr>
        <w:t xml:space="preserve">réalisée il y a dix ans </w:t>
      </w:r>
      <w:r w:rsidRPr="00365CC3">
        <w:rPr>
          <w:rFonts w:cs="Arial"/>
          <w:szCs w:val="20"/>
          <w:lang w:val="fr-BE"/>
        </w:rPr>
        <w:t>sur base des données récentes disponibles, en examinant la consommation de médicaments d’une cohorte de plus de 3.700 affiliés Solidaris âgés de 70 ans et plus entrées en maison de repos au 1</w:t>
      </w:r>
      <w:r w:rsidRPr="00365CC3">
        <w:rPr>
          <w:rFonts w:cs="Arial"/>
          <w:szCs w:val="20"/>
          <w:vertAlign w:val="superscript"/>
          <w:lang w:val="fr-BE"/>
        </w:rPr>
        <w:t>er</w:t>
      </w:r>
      <w:r w:rsidRPr="00365CC3">
        <w:rPr>
          <w:rFonts w:cs="Arial"/>
          <w:szCs w:val="20"/>
          <w:lang w:val="fr-BE"/>
        </w:rPr>
        <w:t xml:space="preserve"> semestre 2021, six mois avant et six mois après leur institutionnalisation. </w:t>
      </w:r>
    </w:p>
    <w:p w14:paraId="13DC9FA0" w14:textId="77777777" w:rsidR="004D1997" w:rsidRPr="00365CC3" w:rsidRDefault="004D1997" w:rsidP="00A51094">
      <w:pPr>
        <w:spacing w:after="0"/>
        <w:jc w:val="both"/>
        <w:rPr>
          <w:rFonts w:cs="Arial"/>
          <w:szCs w:val="20"/>
          <w:lang w:val="fr-BE"/>
        </w:rPr>
      </w:pPr>
    </w:p>
    <w:p w14:paraId="3F5D2168" w14:textId="29008435" w:rsidR="005E3AB8" w:rsidRPr="00365CC3" w:rsidRDefault="005E3AB8" w:rsidP="00A51094">
      <w:pPr>
        <w:spacing w:after="0"/>
        <w:jc w:val="both"/>
        <w:rPr>
          <w:rFonts w:cs="Arial"/>
          <w:szCs w:val="20"/>
          <w:lang w:val="fr-BE"/>
        </w:rPr>
      </w:pPr>
      <w:r w:rsidRPr="00365CC3">
        <w:rPr>
          <w:rFonts w:cs="Arial"/>
          <w:szCs w:val="20"/>
          <w:lang w:val="fr-BE"/>
        </w:rPr>
        <w:t xml:space="preserve">Il s’agit de répondre aux trois questions principales suivantes : </w:t>
      </w:r>
    </w:p>
    <w:p w14:paraId="72D760C7" w14:textId="77777777" w:rsidR="005E3AB8" w:rsidRPr="00365CC3" w:rsidRDefault="005E3AB8" w:rsidP="00A51094">
      <w:pPr>
        <w:pStyle w:val="Paragraphedeliste"/>
        <w:numPr>
          <w:ilvl w:val="0"/>
          <w:numId w:val="25"/>
        </w:numPr>
        <w:spacing w:before="120" w:after="120" w:line="240" w:lineRule="auto"/>
        <w:contextualSpacing w:val="0"/>
        <w:jc w:val="both"/>
        <w:rPr>
          <w:rFonts w:cs="Arial"/>
          <w:szCs w:val="20"/>
          <w:lang w:val="fr-BE"/>
        </w:rPr>
      </w:pPr>
      <w:r w:rsidRPr="00365CC3">
        <w:rPr>
          <w:rFonts w:cs="Arial"/>
          <w:szCs w:val="20"/>
          <w:lang w:val="fr-BE"/>
        </w:rPr>
        <w:t>Comment évolue la consommation de médicaments suite à l’institutionnalisation ?</w:t>
      </w:r>
    </w:p>
    <w:p w14:paraId="4BA8B5DE" w14:textId="77777777" w:rsidR="005E3AB8" w:rsidRPr="00365CC3" w:rsidRDefault="005E3AB8" w:rsidP="00A51094">
      <w:pPr>
        <w:pStyle w:val="Paragraphedeliste"/>
        <w:numPr>
          <w:ilvl w:val="0"/>
          <w:numId w:val="25"/>
        </w:numPr>
        <w:spacing w:before="120" w:after="120" w:line="240" w:lineRule="auto"/>
        <w:contextualSpacing w:val="0"/>
        <w:jc w:val="both"/>
        <w:rPr>
          <w:rFonts w:cs="Arial"/>
          <w:szCs w:val="20"/>
          <w:lang w:val="fr-BE"/>
        </w:rPr>
      </w:pPr>
      <w:r w:rsidRPr="00365CC3">
        <w:rPr>
          <w:rFonts w:cs="Arial"/>
          <w:szCs w:val="20"/>
          <w:lang w:val="fr-BE"/>
        </w:rPr>
        <w:t>Y a-t-il une augmentation ou une diminution en termes de polymédication, à savoir au niveau du nombre de médicaments différents consommé par affilié ?</w:t>
      </w:r>
    </w:p>
    <w:p w14:paraId="704D09E8" w14:textId="0F9C65D6" w:rsidR="00582A61" w:rsidRPr="003325BE" w:rsidRDefault="005E3AB8" w:rsidP="00A51094">
      <w:pPr>
        <w:pStyle w:val="Paragraphedeliste"/>
        <w:numPr>
          <w:ilvl w:val="0"/>
          <w:numId w:val="25"/>
        </w:numPr>
        <w:spacing w:before="120" w:after="120" w:line="240" w:lineRule="auto"/>
        <w:contextualSpacing w:val="0"/>
        <w:jc w:val="both"/>
        <w:rPr>
          <w:lang w:val="fr-BE"/>
        </w:rPr>
      </w:pPr>
      <w:r w:rsidRPr="00365CC3">
        <w:rPr>
          <w:rFonts w:cs="Arial"/>
          <w:szCs w:val="20"/>
          <w:lang w:val="fr-BE"/>
        </w:rPr>
        <w:t>Quels sont les changements (initiation, arrêt, poursuite d’un traitement) par type de médicaments (10 types de médicaments ont été distingués) ?</w:t>
      </w:r>
    </w:p>
    <w:p w14:paraId="7DFB79F6" w14:textId="77777777" w:rsidR="003325BE" w:rsidRPr="00365CC3" w:rsidRDefault="003325BE" w:rsidP="003325BE">
      <w:pPr>
        <w:pStyle w:val="Paragraphedeliste"/>
        <w:numPr>
          <w:ilvl w:val="0"/>
          <w:numId w:val="0"/>
        </w:numPr>
        <w:spacing w:before="120" w:after="120" w:line="240" w:lineRule="auto"/>
        <w:ind w:left="720"/>
        <w:contextualSpacing w:val="0"/>
        <w:jc w:val="both"/>
        <w:rPr>
          <w:lang w:val="fr-BE"/>
        </w:rPr>
      </w:pPr>
    </w:p>
    <w:p w14:paraId="676D21BF" w14:textId="1313EA99" w:rsidR="00BB5C11" w:rsidRPr="00365CC3" w:rsidRDefault="001D4F22" w:rsidP="00BB5C11">
      <w:pPr>
        <w:pStyle w:val="Titre1"/>
        <w:rPr>
          <w:lang w:val="fr-BE"/>
        </w:rPr>
      </w:pPr>
      <w:bookmarkStart w:id="1" w:name="_Toc130195918"/>
      <w:r w:rsidRPr="00365CC3">
        <w:rPr>
          <w:lang w:val="fr-BE"/>
        </w:rPr>
        <w:t>D</w:t>
      </w:r>
      <w:r w:rsidR="00A51094" w:rsidRPr="00365CC3">
        <w:rPr>
          <w:lang w:val="fr-BE"/>
        </w:rPr>
        <w:t>onnées</w:t>
      </w:r>
      <w:r w:rsidRPr="00365CC3">
        <w:rPr>
          <w:lang w:val="fr-BE"/>
        </w:rPr>
        <w:t xml:space="preserve"> &amp; m</w:t>
      </w:r>
      <w:r w:rsidR="00A51094" w:rsidRPr="00365CC3">
        <w:rPr>
          <w:lang w:val="fr-BE"/>
        </w:rPr>
        <w:t>éthodologie</w:t>
      </w:r>
      <w:bookmarkEnd w:id="1"/>
    </w:p>
    <w:p w14:paraId="60B4831D" w14:textId="4BF63860" w:rsidR="00D922F9" w:rsidRPr="00365CC3" w:rsidRDefault="00A51094" w:rsidP="001D67D1">
      <w:pPr>
        <w:pStyle w:val="Titre2"/>
        <w:jc w:val="both"/>
        <w:rPr>
          <w:lang w:val="fr-BE"/>
        </w:rPr>
      </w:pPr>
      <w:bookmarkStart w:id="2" w:name="_Toc130195919"/>
      <w:r w:rsidRPr="00365CC3">
        <w:rPr>
          <w:lang w:val="fr-BE"/>
        </w:rPr>
        <w:t>Données</w:t>
      </w:r>
      <w:bookmarkEnd w:id="2"/>
      <w:r w:rsidR="00AA22BB" w:rsidRPr="00365CC3">
        <w:rPr>
          <w:lang w:val="fr-BE"/>
        </w:rPr>
        <w:t xml:space="preserve"> </w:t>
      </w:r>
    </w:p>
    <w:p w14:paraId="03F6DB23" w14:textId="6FDE998E" w:rsidR="003325BE" w:rsidRPr="003325BE" w:rsidRDefault="003325BE" w:rsidP="001D67D1">
      <w:pPr>
        <w:spacing w:after="0"/>
        <w:jc w:val="both"/>
        <w:rPr>
          <w:rFonts w:cs="Arial"/>
          <w:szCs w:val="20"/>
          <w:lang w:val="fr-BE"/>
        </w:rPr>
      </w:pPr>
      <w:r w:rsidRPr="003325BE">
        <w:rPr>
          <w:rFonts w:cs="Arial"/>
          <w:szCs w:val="20"/>
          <w:lang w:val="fr-FR"/>
        </w:rPr>
        <w:t>La</w:t>
      </w:r>
      <w:r w:rsidRPr="003325BE">
        <w:rPr>
          <w:rFonts w:cs="Arial"/>
          <w:szCs w:val="20"/>
          <w:lang w:val="fr-BE"/>
        </w:rPr>
        <w:t xml:space="preserve"> consommation de médicaments des personnes âgées est analysée sur base de deux banques de données afin de couvrir l’ensemble des médicaments remboursables délivrés aux affiliés de Solidaris</w:t>
      </w:r>
      <w:r w:rsidR="008D7F6A">
        <w:rPr>
          <w:rStyle w:val="Appelnotedebasdep"/>
          <w:rFonts w:cs="Arial"/>
          <w:szCs w:val="20"/>
          <w:lang w:val="fr-BE"/>
        </w:rPr>
        <w:footnoteReference w:id="11"/>
      </w:r>
      <w:r w:rsidRPr="003325BE">
        <w:rPr>
          <w:rFonts w:cs="Arial"/>
          <w:szCs w:val="20"/>
          <w:lang w:val="fr-BE"/>
        </w:rPr>
        <w:t xml:space="preserve"> en 2020 et 2021, soit ceux délivrés en officines privées et ceux délivrés en officines hospitalières :</w:t>
      </w:r>
    </w:p>
    <w:p w14:paraId="30418C35" w14:textId="77777777" w:rsidR="003325BE" w:rsidRPr="003325BE" w:rsidRDefault="003325BE" w:rsidP="001D67D1">
      <w:pPr>
        <w:pStyle w:val="Paragraphedeliste"/>
        <w:numPr>
          <w:ilvl w:val="0"/>
          <w:numId w:val="26"/>
        </w:numPr>
        <w:spacing w:before="120" w:after="120" w:line="240" w:lineRule="auto"/>
        <w:ind w:left="1077" w:hanging="357"/>
        <w:contextualSpacing w:val="0"/>
        <w:jc w:val="both"/>
        <w:rPr>
          <w:rFonts w:cs="Arial"/>
          <w:szCs w:val="20"/>
          <w:lang w:val="fr-FR"/>
        </w:rPr>
      </w:pPr>
      <w:proofErr w:type="spellStart"/>
      <w:r w:rsidRPr="003325BE">
        <w:rPr>
          <w:rFonts w:cs="Arial"/>
          <w:szCs w:val="20"/>
          <w:lang w:val="fr-FR"/>
        </w:rPr>
        <w:t>Pharmanet</w:t>
      </w:r>
      <w:proofErr w:type="spellEnd"/>
      <w:r w:rsidRPr="003325BE">
        <w:rPr>
          <w:rFonts w:cs="Arial"/>
          <w:szCs w:val="20"/>
          <w:lang w:val="fr-FR"/>
        </w:rPr>
        <w:t xml:space="preserve"> qui est un flux d’informations </w:t>
      </w:r>
      <w:r w:rsidRPr="003325BE">
        <w:rPr>
          <w:rFonts w:cs="Arial"/>
          <w:szCs w:val="20"/>
          <w:lang w:val="fr-BE"/>
        </w:rPr>
        <w:t xml:space="preserve">alimenté par les factures des officines publiques et </w:t>
      </w:r>
      <w:r w:rsidRPr="003325BE">
        <w:rPr>
          <w:rFonts w:cs="Arial"/>
          <w:szCs w:val="20"/>
          <w:lang w:val="fr-FR"/>
        </w:rPr>
        <w:t>passant par les mutualités dans le cadre du remboursement des médicaments dans le secteur ambulatoire. Cette base de données reprend ainsi les médicaments délivrés par les pharmacies publiques qui sont remboursés par l'assurance maladie obligatoire (les médicaments non remboursables, tels que les somnifères ou les calmants, n’y sont donc pas repris).</w:t>
      </w:r>
    </w:p>
    <w:p w14:paraId="5DAC9376" w14:textId="77777777" w:rsidR="003325BE" w:rsidRPr="003325BE" w:rsidRDefault="003325BE" w:rsidP="001D67D1">
      <w:pPr>
        <w:pStyle w:val="Paragraphedeliste"/>
        <w:numPr>
          <w:ilvl w:val="0"/>
          <w:numId w:val="26"/>
        </w:numPr>
        <w:spacing w:before="120" w:after="120" w:line="240" w:lineRule="auto"/>
        <w:ind w:left="1077" w:hanging="357"/>
        <w:contextualSpacing w:val="0"/>
        <w:jc w:val="both"/>
        <w:rPr>
          <w:rFonts w:cs="Arial"/>
          <w:szCs w:val="20"/>
          <w:lang w:val="fr-FR"/>
        </w:rPr>
      </w:pPr>
      <w:proofErr w:type="spellStart"/>
      <w:r w:rsidRPr="003325BE">
        <w:rPr>
          <w:rFonts w:cs="Arial"/>
          <w:szCs w:val="20"/>
          <w:lang w:val="fr-FR"/>
        </w:rPr>
        <w:t>Medhosp</w:t>
      </w:r>
      <w:proofErr w:type="spellEnd"/>
      <w:r w:rsidRPr="003325BE">
        <w:rPr>
          <w:rFonts w:cs="Arial"/>
          <w:szCs w:val="20"/>
          <w:lang w:val="fr-FR"/>
        </w:rPr>
        <w:t xml:space="preserve"> qui est un flux d’informations </w:t>
      </w:r>
      <w:r w:rsidRPr="003325BE">
        <w:rPr>
          <w:rFonts w:cs="Arial"/>
          <w:szCs w:val="20"/>
          <w:lang w:val="fr-BE"/>
        </w:rPr>
        <w:t xml:space="preserve">alimenté par les factures des officines hospitalières et </w:t>
      </w:r>
      <w:r w:rsidRPr="003325BE">
        <w:rPr>
          <w:rFonts w:cs="Arial"/>
          <w:szCs w:val="20"/>
          <w:lang w:val="fr-FR"/>
        </w:rPr>
        <w:t>passant par les mutualités dans le cadre du remboursement des médicaments dans le secteur hospitalier. Cette base de données reprend donc les médicaments délivrés par les hôpitaux (tant aux patients hospitalisés qu’en ambulatoire) qui sont remboursés par l'assurance maladie obligatoire.</w:t>
      </w:r>
    </w:p>
    <w:p w14:paraId="40A1F746" w14:textId="77777777" w:rsidR="003325BE" w:rsidRPr="003325BE" w:rsidRDefault="003325BE" w:rsidP="001D67D1">
      <w:pPr>
        <w:spacing w:after="0"/>
        <w:jc w:val="both"/>
        <w:rPr>
          <w:rFonts w:cs="Arial"/>
          <w:szCs w:val="20"/>
          <w:lang w:val="fr-FR"/>
        </w:rPr>
      </w:pPr>
    </w:p>
    <w:p w14:paraId="2098175E" w14:textId="75C80B0C" w:rsidR="003325BE" w:rsidRPr="003325BE" w:rsidRDefault="003325BE" w:rsidP="001D67D1">
      <w:pPr>
        <w:spacing w:after="0"/>
        <w:jc w:val="both"/>
        <w:rPr>
          <w:rFonts w:cs="Arial"/>
          <w:szCs w:val="20"/>
          <w:lang w:val="fr-FR"/>
        </w:rPr>
      </w:pPr>
      <w:r w:rsidRPr="003325BE">
        <w:rPr>
          <w:rFonts w:cs="Arial"/>
          <w:szCs w:val="20"/>
          <w:lang w:val="fr-FR"/>
        </w:rPr>
        <w:t>Cela nous permet de tenir compte de l’ensemble de la consommation de médicaments, y compris celle des affiliés qui ont été hospitalisés</w:t>
      </w:r>
      <w:r w:rsidRPr="00BF03FA">
        <w:rPr>
          <w:rFonts w:cs="Arial"/>
          <w:szCs w:val="20"/>
          <w:lang w:val="fr-FR"/>
        </w:rPr>
        <w:t xml:space="preserve">. Il s’agit en effet d’un aspect important dans le cadre de cette étude : parmi les affiliés entrés en maison de repos </w:t>
      </w:r>
      <w:r w:rsidR="008D7F6A" w:rsidRPr="00BF03FA">
        <w:rPr>
          <w:rFonts w:cs="Arial"/>
          <w:szCs w:val="20"/>
          <w:lang w:val="fr-FR"/>
        </w:rPr>
        <w:t>au cours du premier semestre 2021</w:t>
      </w:r>
      <w:r w:rsidRPr="00BF03FA">
        <w:rPr>
          <w:rFonts w:cs="Arial"/>
          <w:szCs w:val="20"/>
          <w:lang w:val="fr-FR"/>
        </w:rPr>
        <w:t xml:space="preserve">, </w:t>
      </w:r>
      <w:r w:rsidR="008D7F6A" w:rsidRPr="00BF03FA">
        <w:rPr>
          <w:rFonts w:cs="Arial"/>
          <w:szCs w:val="20"/>
          <w:lang w:val="fr-FR"/>
        </w:rPr>
        <w:t xml:space="preserve">deux </w:t>
      </w:r>
      <w:r w:rsidRPr="00BF03FA">
        <w:rPr>
          <w:rFonts w:cs="Arial"/>
          <w:szCs w:val="20"/>
          <w:lang w:val="fr-FR"/>
        </w:rPr>
        <w:t xml:space="preserve">affiliés sur </w:t>
      </w:r>
      <w:r w:rsidR="008D7F6A" w:rsidRPr="00BF03FA">
        <w:rPr>
          <w:rFonts w:cs="Arial"/>
          <w:szCs w:val="20"/>
          <w:lang w:val="fr-FR"/>
        </w:rPr>
        <w:t>trois</w:t>
      </w:r>
      <w:r w:rsidRPr="00BF03FA">
        <w:rPr>
          <w:rFonts w:cs="Arial"/>
          <w:szCs w:val="20"/>
          <w:lang w:val="fr-FR"/>
        </w:rPr>
        <w:t xml:space="preserve"> ont été hospitalisés au moins deux jours au cours des six mois précédant leur entrée en maison de repos. Il est donc important d’intégrer ces données afin de ne pas biaiser les résultats lorsqu’on analyse la consommation de médicaments.</w:t>
      </w:r>
    </w:p>
    <w:p w14:paraId="05C529F3" w14:textId="77777777" w:rsidR="003325BE" w:rsidRPr="003325BE" w:rsidRDefault="003325BE" w:rsidP="001D67D1">
      <w:pPr>
        <w:spacing w:after="0"/>
        <w:jc w:val="both"/>
        <w:rPr>
          <w:rFonts w:cs="Arial"/>
          <w:szCs w:val="20"/>
          <w:lang w:val="fr-FR"/>
        </w:rPr>
      </w:pPr>
    </w:p>
    <w:p w14:paraId="77E6F69D" w14:textId="165CBBC1" w:rsidR="003325BE" w:rsidRPr="003325BE" w:rsidRDefault="003325BE" w:rsidP="001D67D1">
      <w:pPr>
        <w:spacing w:after="0"/>
        <w:jc w:val="both"/>
        <w:rPr>
          <w:rFonts w:cs="Arial"/>
          <w:szCs w:val="20"/>
          <w:lang w:val="fr-FR"/>
        </w:rPr>
      </w:pPr>
      <w:r w:rsidRPr="003325BE">
        <w:rPr>
          <w:rFonts w:cs="Arial"/>
          <w:szCs w:val="20"/>
          <w:lang w:val="fr-FR"/>
        </w:rPr>
        <w:t>Ces deux flux d’informations identifient les médicaments remboursables délivrés (basés sur la classification ATC</w:t>
      </w:r>
      <w:r w:rsidRPr="003325BE">
        <w:rPr>
          <w:rStyle w:val="Appelnotedebasdep"/>
          <w:rFonts w:cs="Arial"/>
          <w:szCs w:val="20"/>
          <w:lang w:val="fr-FR"/>
        </w:rPr>
        <w:footnoteReference w:id="12"/>
      </w:r>
      <w:r w:rsidRPr="003325BE">
        <w:rPr>
          <w:rFonts w:cs="Arial"/>
          <w:szCs w:val="20"/>
          <w:lang w:val="fr-FR"/>
        </w:rPr>
        <w:t>) à chaque patient et le nombre de doses quotidiennes de traitement délivrées (DDD). La présente étude ne prend donc en compte que les personnes ayant consommé au moins un médicament sur la période étudiée.</w:t>
      </w:r>
    </w:p>
    <w:p w14:paraId="728FCCBC" w14:textId="77777777" w:rsidR="003325BE" w:rsidRPr="003325BE" w:rsidRDefault="003325BE" w:rsidP="001D67D1">
      <w:pPr>
        <w:spacing w:after="0"/>
        <w:jc w:val="both"/>
        <w:rPr>
          <w:rFonts w:cs="Arial"/>
          <w:szCs w:val="20"/>
          <w:lang w:val="fr-FR"/>
        </w:rPr>
      </w:pPr>
    </w:p>
    <w:p w14:paraId="1FF06834" w14:textId="60070A53" w:rsidR="003325BE" w:rsidRDefault="00B361D0" w:rsidP="001D67D1">
      <w:pPr>
        <w:spacing w:after="0"/>
        <w:jc w:val="both"/>
        <w:rPr>
          <w:lang w:val="fr-BE"/>
        </w:rPr>
      </w:pPr>
      <w:r w:rsidRPr="003F1361">
        <w:rPr>
          <w:lang w:val="fr-BE"/>
        </w:rPr>
        <w:lastRenderedPageBreak/>
        <w:t xml:space="preserve">Pour identifier les affiliés qui sont entrés en maison de repos, nous vérifions s'il y a eu </w:t>
      </w:r>
      <w:r w:rsidR="008F3433" w:rsidRPr="003F1361">
        <w:rPr>
          <w:lang w:val="fr-BE"/>
        </w:rPr>
        <w:t xml:space="preserve">la </w:t>
      </w:r>
      <w:r w:rsidRPr="003F1361">
        <w:rPr>
          <w:lang w:val="fr-BE"/>
        </w:rPr>
        <w:t>facturation d'un</w:t>
      </w:r>
      <w:r w:rsidR="003F1361" w:rsidRPr="003F1361">
        <w:rPr>
          <w:lang w:val="fr-BE"/>
        </w:rPr>
        <w:t xml:space="preserve"> forfait par</w:t>
      </w:r>
      <w:r w:rsidR="003D6398" w:rsidRPr="003F1361">
        <w:rPr>
          <w:lang w:val="fr-BE"/>
        </w:rPr>
        <w:t xml:space="preserve"> l’assurance maladie</w:t>
      </w:r>
      <w:r w:rsidRPr="003F1361">
        <w:rPr>
          <w:rStyle w:val="Appelnotedebasdep"/>
        </w:rPr>
        <w:footnoteReference w:id="13"/>
      </w:r>
      <w:r w:rsidRPr="003F1361">
        <w:rPr>
          <w:lang w:val="fr-BE"/>
        </w:rPr>
        <w:t xml:space="preserve">. </w:t>
      </w:r>
      <w:r w:rsidR="008F3433" w:rsidRPr="003F1361">
        <w:rPr>
          <w:rFonts w:cs="Arial"/>
          <w:lang w:val="fr-FR"/>
        </w:rPr>
        <w:t>Les données utilisées sont actuellement disponibles pour la Flandre et la Wallonie mais pas pour Bruxelles</w:t>
      </w:r>
      <w:r w:rsidRPr="00B361D0">
        <w:rPr>
          <w:lang w:val="fr-BE"/>
        </w:rPr>
        <w:t xml:space="preserve">. L'analyse ne concerne donc que les </w:t>
      </w:r>
      <w:r w:rsidR="008F3433">
        <w:rPr>
          <w:lang w:val="fr-BE"/>
        </w:rPr>
        <w:t>affiliés résidant en maison de re</w:t>
      </w:r>
      <w:r w:rsidR="00235AAA">
        <w:rPr>
          <w:lang w:val="fr-BE"/>
        </w:rPr>
        <w:t>pos</w:t>
      </w:r>
      <w:r w:rsidRPr="00B361D0">
        <w:rPr>
          <w:lang w:val="fr-BE"/>
        </w:rPr>
        <w:t xml:space="preserve"> en Flandre ou en Wallonie (à l'exclusion des centres de soins résidentiels situés dans les Cantons de l'Est).</w:t>
      </w:r>
    </w:p>
    <w:p w14:paraId="3A9563EB" w14:textId="77777777" w:rsidR="00A23C65" w:rsidRPr="00365CC3" w:rsidRDefault="00A23C65" w:rsidP="001D67D1">
      <w:pPr>
        <w:jc w:val="both"/>
        <w:rPr>
          <w:lang w:val="fr-BE"/>
        </w:rPr>
      </w:pPr>
    </w:p>
    <w:p w14:paraId="060F31A7" w14:textId="30E735F1" w:rsidR="00D922F9" w:rsidRPr="00365CC3" w:rsidRDefault="00A51094" w:rsidP="001D67D1">
      <w:pPr>
        <w:pStyle w:val="Titre2"/>
        <w:jc w:val="both"/>
        <w:rPr>
          <w:lang w:val="fr-BE"/>
        </w:rPr>
      </w:pPr>
      <w:bookmarkStart w:id="3" w:name="_Toc130195920"/>
      <w:r w:rsidRPr="00365CC3">
        <w:rPr>
          <w:lang w:val="fr-BE"/>
        </w:rPr>
        <w:t>Mé</w:t>
      </w:r>
      <w:r w:rsidR="00934D7C" w:rsidRPr="00365CC3">
        <w:rPr>
          <w:lang w:val="fr-BE"/>
        </w:rPr>
        <w:t>thodologie</w:t>
      </w:r>
      <w:bookmarkEnd w:id="3"/>
    </w:p>
    <w:p w14:paraId="0AB38D2C" w14:textId="19B6D5BF" w:rsidR="00934D7C" w:rsidRPr="00365CC3" w:rsidRDefault="00FF6DA6" w:rsidP="001D67D1">
      <w:pPr>
        <w:pStyle w:val="Titre3"/>
        <w:jc w:val="both"/>
        <w:rPr>
          <w:lang w:val="fr-BE"/>
        </w:rPr>
      </w:pPr>
      <w:bookmarkStart w:id="4" w:name="_Toc130195921"/>
      <w:r>
        <w:rPr>
          <w:lang w:val="fr-BE"/>
        </w:rPr>
        <w:t>Analyse l</w:t>
      </w:r>
      <w:r w:rsidR="00AA4577" w:rsidRPr="00365CC3">
        <w:rPr>
          <w:lang w:val="fr-BE"/>
        </w:rPr>
        <w:t>ongitudinale</w:t>
      </w:r>
      <w:bookmarkEnd w:id="4"/>
    </w:p>
    <w:p w14:paraId="17BFD257" w14:textId="1F99AC15" w:rsidR="003B2921" w:rsidRPr="003B2921" w:rsidRDefault="003B2921" w:rsidP="001D67D1">
      <w:pPr>
        <w:jc w:val="both"/>
        <w:rPr>
          <w:rFonts w:cs="Arial"/>
          <w:szCs w:val="20"/>
          <w:lang w:val="fr-BE"/>
        </w:rPr>
      </w:pPr>
      <w:r w:rsidRPr="003B2921">
        <w:rPr>
          <w:rFonts w:cs="Arial"/>
          <w:szCs w:val="20"/>
          <w:lang w:val="fr-BE"/>
        </w:rPr>
        <w:t>Afin de cerner au mieux l’impact d’entrer en maison de repos, nous étudions la consommation de médicaments des affiliés de 70 ans et plus de Solidaris avant et après leur institutionnalisation. Nous réalisons ainsi une analyse longitudinale en suivant la cohorte de personnes âgées entrées pour la première fois en maison de repos durant le premier semestre 2021 (entre le 1</w:t>
      </w:r>
      <w:r w:rsidRPr="003B2921">
        <w:rPr>
          <w:rFonts w:cs="Arial"/>
          <w:szCs w:val="20"/>
          <w:vertAlign w:val="superscript"/>
          <w:lang w:val="fr-BE"/>
        </w:rPr>
        <w:t>er</w:t>
      </w:r>
      <w:r w:rsidRPr="003B2921">
        <w:rPr>
          <w:rFonts w:cs="Arial"/>
          <w:szCs w:val="20"/>
          <w:lang w:val="fr-BE"/>
        </w:rPr>
        <w:t xml:space="preserve"> janvier et le 30 juin 2021)</w:t>
      </w:r>
      <w:r w:rsidRPr="003B2921">
        <w:rPr>
          <w:rStyle w:val="Appelnotedebasdep"/>
          <w:rFonts w:cs="Arial"/>
          <w:szCs w:val="20"/>
          <w:lang w:val="fr-BE"/>
        </w:rPr>
        <w:footnoteReference w:id="14"/>
      </w:r>
      <w:r w:rsidRPr="003B2921">
        <w:rPr>
          <w:rFonts w:cs="Arial"/>
          <w:szCs w:val="20"/>
          <w:lang w:val="fr-BE"/>
        </w:rPr>
        <w:t xml:space="preserve"> et comparons deux périodes (Figure </w:t>
      </w:r>
      <w:r w:rsidR="007B5C67">
        <w:rPr>
          <w:rFonts w:cs="Arial"/>
          <w:szCs w:val="20"/>
          <w:lang w:val="fr-BE"/>
        </w:rPr>
        <w:t>1</w:t>
      </w:r>
      <w:r w:rsidRPr="003B2921">
        <w:rPr>
          <w:rFonts w:cs="Arial"/>
          <w:szCs w:val="20"/>
          <w:lang w:val="fr-BE"/>
        </w:rPr>
        <w:t>) :</w:t>
      </w:r>
    </w:p>
    <w:p w14:paraId="34F5182A" w14:textId="77777777" w:rsidR="003B2921" w:rsidRPr="003B2921" w:rsidRDefault="003B2921" w:rsidP="001D67D1">
      <w:pPr>
        <w:pStyle w:val="Paragraphedeliste"/>
        <w:numPr>
          <w:ilvl w:val="0"/>
          <w:numId w:val="27"/>
        </w:numPr>
        <w:spacing w:before="120" w:after="120" w:line="240" w:lineRule="auto"/>
        <w:ind w:left="714" w:hanging="357"/>
        <w:contextualSpacing w:val="0"/>
        <w:jc w:val="both"/>
        <w:rPr>
          <w:rFonts w:cs="Arial"/>
          <w:color w:val="000000" w:themeColor="text1"/>
          <w:szCs w:val="20"/>
          <w:lang w:val="fr-FR"/>
        </w:rPr>
      </w:pPr>
      <w:r w:rsidRPr="003B2921">
        <w:rPr>
          <w:rFonts w:cs="Arial"/>
          <w:color w:val="000000" w:themeColor="text1"/>
          <w:szCs w:val="20"/>
          <w:lang w:val="fr-FR"/>
        </w:rPr>
        <w:t>Six mois avant l’entrée en maison de repos ;</w:t>
      </w:r>
    </w:p>
    <w:p w14:paraId="39ACE4D1" w14:textId="77777777" w:rsidR="003B2921" w:rsidRPr="003B2921" w:rsidRDefault="003B2921" w:rsidP="001D67D1">
      <w:pPr>
        <w:pStyle w:val="Paragraphedeliste"/>
        <w:numPr>
          <w:ilvl w:val="0"/>
          <w:numId w:val="27"/>
        </w:numPr>
        <w:spacing w:before="120" w:after="120" w:line="240" w:lineRule="auto"/>
        <w:ind w:left="714" w:hanging="357"/>
        <w:contextualSpacing w:val="0"/>
        <w:jc w:val="both"/>
        <w:rPr>
          <w:rFonts w:cs="Arial"/>
          <w:b/>
          <w:color w:val="000000" w:themeColor="text1"/>
          <w:szCs w:val="20"/>
          <w:lang w:val="fr-FR"/>
        </w:rPr>
      </w:pPr>
      <w:r w:rsidRPr="003B2921">
        <w:rPr>
          <w:rFonts w:cs="Arial"/>
          <w:color w:val="000000" w:themeColor="text1"/>
          <w:szCs w:val="20"/>
          <w:lang w:val="fr-FR"/>
        </w:rPr>
        <w:t>Six mois après l’entrée en maison de repos.</w:t>
      </w:r>
    </w:p>
    <w:p w14:paraId="3A9DBC68" w14:textId="77777777" w:rsidR="006D0C21" w:rsidRDefault="006D0C21" w:rsidP="006D0C21">
      <w:pPr>
        <w:pStyle w:val="Figure"/>
      </w:pPr>
    </w:p>
    <w:p w14:paraId="626081D1" w14:textId="62F2C052" w:rsidR="008D6868" w:rsidRPr="003B2921" w:rsidRDefault="006D0C21" w:rsidP="006D0C21">
      <w:pPr>
        <w:pStyle w:val="Figure"/>
      </w:pPr>
      <w:bookmarkStart w:id="5" w:name="_Toc130195837"/>
      <w:r>
        <w:t>Figure 1 : Entrée en maison de repos – période analysée 2020-2021</w:t>
      </w:r>
      <w:bookmarkEnd w:id="5"/>
    </w:p>
    <w:p w14:paraId="5A757956" w14:textId="6657ECAC" w:rsidR="00F4314E" w:rsidRPr="00365CC3" w:rsidRDefault="002D26B1" w:rsidP="001D67D1">
      <w:pPr>
        <w:jc w:val="center"/>
        <w:rPr>
          <w:lang w:val="fr-BE"/>
        </w:rPr>
      </w:pPr>
      <w:r>
        <w:rPr>
          <w:noProof/>
          <w:lang w:val="fr-BE" w:eastAsia="fr-BE"/>
        </w:rPr>
        <w:drawing>
          <wp:inline distT="0" distB="0" distL="0" distR="0" wp14:anchorId="561F713A" wp14:editId="0F47A9BF">
            <wp:extent cx="5048250" cy="22098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48250" cy="2209800"/>
                    </a:xfrm>
                    <a:prstGeom prst="rect">
                      <a:avLst/>
                    </a:prstGeom>
                  </pic:spPr>
                </pic:pic>
              </a:graphicData>
            </a:graphic>
          </wp:inline>
        </w:drawing>
      </w:r>
    </w:p>
    <w:p w14:paraId="3608F6B1" w14:textId="3225CA8E" w:rsidR="008D6868" w:rsidRDefault="008D6868" w:rsidP="60B785DB">
      <w:pPr>
        <w:jc w:val="both"/>
        <w:rPr>
          <w:rFonts w:cs="Arial"/>
          <w:lang w:val="fr-BE"/>
        </w:rPr>
      </w:pPr>
      <w:r w:rsidRPr="60B785DB">
        <w:rPr>
          <w:rFonts w:cs="Arial"/>
          <w:lang w:val="fr-BE"/>
        </w:rPr>
        <w:t xml:space="preserve">Cette approche longitudinale permet d’évaluer si la consommation de </w:t>
      </w:r>
      <w:r w:rsidRPr="00014EB0">
        <w:rPr>
          <w:rFonts w:cs="Arial"/>
          <w:lang w:val="fr-BE"/>
        </w:rPr>
        <w:t xml:space="preserve">médicaments </w:t>
      </w:r>
      <w:r w:rsidR="00235AAA" w:rsidRPr="00014EB0">
        <w:rPr>
          <w:rFonts w:cs="Arial"/>
          <w:lang w:val="fr-BE"/>
        </w:rPr>
        <w:t>(rembours</w:t>
      </w:r>
      <w:r w:rsidR="00014EB0" w:rsidRPr="00014EB0">
        <w:rPr>
          <w:rFonts w:cs="Arial"/>
          <w:lang w:val="fr-BE"/>
        </w:rPr>
        <w:t>és par l’assurance maladie</w:t>
      </w:r>
      <w:r w:rsidR="00235AAA" w:rsidRPr="00014EB0">
        <w:rPr>
          <w:rFonts w:cs="Arial"/>
          <w:lang w:val="fr-BE"/>
        </w:rPr>
        <w:t xml:space="preserve">) </w:t>
      </w:r>
      <w:r w:rsidRPr="00014EB0">
        <w:rPr>
          <w:rFonts w:cs="Arial"/>
          <w:lang w:val="fr-BE"/>
        </w:rPr>
        <w:t>a été induite par l’entrée en maison de repos ou si elle existait déjà avant l’institutionnalisation.</w:t>
      </w:r>
    </w:p>
    <w:p w14:paraId="4AEBB4DD" w14:textId="1200B9FF" w:rsidR="0095797A" w:rsidRDefault="0095797A" w:rsidP="001D67D1">
      <w:pPr>
        <w:spacing w:after="0"/>
        <w:jc w:val="both"/>
        <w:rPr>
          <w:rFonts w:cs="Arial"/>
          <w:szCs w:val="20"/>
          <w:lang w:val="fr-BE"/>
        </w:rPr>
      </w:pPr>
      <w:r w:rsidRPr="0095797A">
        <w:rPr>
          <w:rFonts w:cs="Arial"/>
          <w:szCs w:val="20"/>
          <w:lang w:val="fr-BE"/>
        </w:rPr>
        <w:t xml:space="preserve">Parmi l’ensemble des affiliés entrant pour la première fois en maison de repos durant le premier semestre 2021, nous ne prenons en compte que les affiliés de 70 ans et plus </w:t>
      </w:r>
      <w:r>
        <w:rPr>
          <w:rFonts w:cs="Arial"/>
          <w:szCs w:val="20"/>
          <w:lang w:val="fr-BE"/>
        </w:rPr>
        <w:t xml:space="preserve">(au 31/12/2020) </w:t>
      </w:r>
      <w:r w:rsidRPr="0095797A">
        <w:rPr>
          <w:rFonts w:cs="Arial"/>
          <w:szCs w:val="20"/>
          <w:lang w:val="fr-BE"/>
        </w:rPr>
        <w:t>présents dans nos données six mois avant et six mois après leur entrée en maison de repos</w:t>
      </w:r>
      <w:r w:rsidRPr="0095797A">
        <w:rPr>
          <w:rStyle w:val="Appelnotedebasdep"/>
          <w:rFonts w:cs="Arial"/>
          <w:szCs w:val="20"/>
          <w:lang w:val="fr-BE"/>
        </w:rPr>
        <w:footnoteReference w:id="15"/>
      </w:r>
      <w:r w:rsidRPr="0095797A">
        <w:rPr>
          <w:rFonts w:cs="Arial"/>
          <w:szCs w:val="20"/>
          <w:lang w:val="fr-BE"/>
        </w:rPr>
        <w:t>. Cela représente un total de 3.747 affiliés</w:t>
      </w:r>
      <w:r>
        <w:rPr>
          <w:rFonts w:cs="Arial"/>
          <w:szCs w:val="20"/>
          <w:lang w:val="fr-BE"/>
        </w:rPr>
        <w:t xml:space="preserve"> entrés en maison de repos en Wallonie ou en Flandre au cours du 1</w:t>
      </w:r>
      <w:r w:rsidRPr="0095797A">
        <w:rPr>
          <w:rFonts w:cs="Arial"/>
          <w:szCs w:val="20"/>
          <w:vertAlign w:val="superscript"/>
          <w:lang w:val="fr-BE"/>
        </w:rPr>
        <w:t>er</w:t>
      </w:r>
      <w:r>
        <w:rPr>
          <w:rFonts w:cs="Arial"/>
          <w:szCs w:val="20"/>
          <w:lang w:val="fr-BE"/>
        </w:rPr>
        <w:t xml:space="preserve"> semestre 2021</w:t>
      </w:r>
      <w:r w:rsidRPr="0095797A">
        <w:rPr>
          <w:rFonts w:cs="Arial"/>
          <w:szCs w:val="20"/>
          <w:lang w:val="fr-BE"/>
        </w:rPr>
        <w:t xml:space="preserve">. </w:t>
      </w:r>
    </w:p>
    <w:p w14:paraId="61EF1223" w14:textId="77777777" w:rsidR="00884A43" w:rsidRPr="00884A43" w:rsidRDefault="00884A43" w:rsidP="001D67D1">
      <w:pPr>
        <w:spacing w:after="0"/>
        <w:jc w:val="both"/>
        <w:rPr>
          <w:rFonts w:cs="Arial"/>
          <w:szCs w:val="20"/>
          <w:lang w:val="fr-BE"/>
        </w:rPr>
      </w:pPr>
    </w:p>
    <w:p w14:paraId="1F343AA3" w14:textId="34C8A7FE" w:rsidR="008746EA" w:rsidRDefault="00884A43" w:rsidP="33C4CB8E">
      <w:pPr>
        <w:jc w:val="both"/>
        <w:rPr>
          <w:rFonts w:cs="Arial"/>
          <w:lang w:val="fr-BE"/>
        </w:rPr>
      </w:pPr>
      <w:r w:rsidRPr="33C4CB8E">
        <w:rPr>
          <w:rFonts w:cs="Arial"/>
          <w:lang w:val="fr-BE"/>
        </w:rPr>
        <w:t>Hormis l’âge, il ressort que les caractéristiques de l’échantillon des affiliés entrés en maison de repos au cours du 1</w:t>
      </w:r>
      <w:r w:rsidRPr="33C4CB8E">
        <w:rPr>
          <w:rFonts w:cs="Arial"/>
          <w:vertAlign w:val="superscript"/>
          <w:lang w:val="fr-BE"/>
        </w:rPr>
        <w:t>er</w:t>
      </w:r>
      <w:r w:rsidRPr="33C4CB8E">
        <w:rPr>
          <w:rFonts w:cs="Arial"/>
          <w:lang w:val="fr-BE"/>
        </w:rPr>
        <w:t xml:space="preserve"> semestre de l’année 2021 sont quelque peu différentes de celles des affiliés qui </w:t>
      </w:r>
      <w:r w:rsidRPr="33C4CB8E">
        <w:rPr>
          <w:rFonts w:cs="Arial"/>
          <w:lang w:val="fr-BE"/>
        </w:rPr>
        <w:lastRenderedPageBreak/>
        <w:t xml:space="preserve">résidaient déjà en maison de repos (Tableau </w:t>
      </w:r>
      <w:r w:rsidR="13B10247" w:rsidRPr="33C4CB8E">
        <w:rPr>
          <w:rFonts w:cs="Arial"/>
          <w:lang w:val="fr-BE"/>
        </w:rPr>
        <w:t>1</w:t>
      </w:r>
      <w:r w:rsidRPr="33C4CB8E">
        <w:rPr>
          <w:rFonts w:cs="Arial"/>
          <w:lang w:val="fr-BE"/>
        </w:rPr>
        <w:t>). La proportion de femmes et de BIM</w:t>
      </w:r>
      <w:r w:rsidRPr="33C4CB8E">
        <w:rPr>
          <w:rStyle w:val="Appelnotedebasdep"/>
          <w:rFonts w:cs="Arial"/>
          <w:lang w:val="fr-BE"/>
        </w:rPr>
        <w:footnoteReference w:id="16"/>
      </w:r>
      <w:r w:rsidRPr="33C4CB8E">
        <w:rPr>
          <w:rFonts w:cs="Arial"/>
          <w:lang w:val="fr-BE"/>
        </w:rPr>
        <w:t xml:space="preserve"> est légèrement inférieure parmi les résidents récents. L’écart est plus important en ce qui concerne la proportion de personnes souffrant de maladies chroniques </w:t>
      </w:r>
      <w:r w:rsidRPr="00014EB0">
        <w:rPr>
          <w:lang w:val="fr-BE"/>
        </w:rPr>
        <w:t xml:space="preserve"> (58% contre 82%)</w:t>
      </w:r>
      <w:r w:rsidR="003D6398" w:rsidRPr="00014EB0">
        <w:rPr>
          <w:rStyle w:val="Appelnotedebasdep"/>
          <w:lang w:val="fr-BE"/>
        </w:rPr>
        <w:footnoteReference w:id="17"/>
      </w:r>
      <w:r w:rsidRPr="33C4CB8E">
        <w:rPr>
          <w:rFonts w:cs="Arial"/>
          <w:lang w:val="fr-BE"/>
        </w:rPr>
        <w:t>.</w:t>
      </w:r>
      <w:r w:rsidR="00235AAA" w:rsidRPr="33C4CB8E">
        <w:rPr>
          <w:rFonts w:cs="Arial"/>
          <w:lang w:val="fr-BE"/>
        </w:rPr>
        <w:t xml:space="preserve"> On constate en effet que la proportion de malades chroniques augmente avec le nombre d’année passées en maison de repos, passant de 63% parmi les résidents séjournant en maison de repos depuis moins de un an à 93% pour ceux y séjournant depuis plus de quatre ans</w:t>
      </w:r>
      <w:r w:rsidR="003103FA" w:rsidRPr="33C4CB8E">
        <w:rPr>
          <w:rFonts w:cs="Arial"/>
          <w:lang w:val="fr-BE"/>
        </w:rPr>
        <w:t> ; ce qui peut refléter un état de santé plus dégradé</w:t>
      </w:r>
      <w:r w:rsidR="00235AAA" w:rsidRPr="33C4CB8E">
        <w:rPr>
          <w:rFonts w:cs="Arial"/>
          <w:lang w:val="fr-BE"/>
        </w:rPr>
        <w:t xml:space="preserve">. </w:t>
      </w:r>
      <w:r w:rsidR="00F20FCE" w:rsidRPr="33C4CB8E">
        <w:rPr>
          <w:rFonts w:cs="Arial"/>
          <w:lang w:val="fr-BE"/>
        </w:rPr>
        <w:t>Cela peut en partie expliquer pourquoi la proportion de malades chroniques est nettement plus élevée parmi les résidents entrés en maison de repos avant 2021 par rapport à ceux arrivés au courant du 1</w:t>
      </w:r>
      <w:r w:rsidR="00F20FCE" w:rsidRPr="33C4CB8E">
        <w:rPr>
          <w:rFonts w:cs="Arial"/>
          <w:vertAlign w:val="superscript"/>
          <w:lang w:val="fr-BE"/>
        </w:rPr>
        <w:t>er</w:t>
      </w:r>
      <w:r w:rsidR="00F20FCE" w:rsidRPr="33C4CB8E">
        <w:rPr>
          <w:rFonts w:cs="Arial"/>
          <w:lang w:val="fr-BE"/>
        </w:rPr>
        <w:t xml:space="preserve"> semestre 2021. </w:t>
      </w:r>
      <w:r w:rsidR="00235AAA" w:rsidRPr="33C4CB8E">
        <w:rPr>
          <w:rFonts w:cs="Arial"/>
          <w:lang w:val="fr-BE"/>
        </w:rPr>
        <w:t>A titre d</w:t>
      </w:r>
      <w:r w:rsidR="00F20FCE" w:rsidRPr="33C4CB8E">
        <w:rPr>
          <w:rFonts w:cs="Arial"/>
          <w:lang w:val="fr-BE"/>
        </w:rPr>
        <w:t>’information</w:t>
      </w:r>
      <w:r w:rsidR="00235AAA" w:rsidRPr="33C4CB8E">
        <w:rPr>
          <w:rFonts w:cs="Arial"/>
          <w:lang w:val="fr-BE"/>
        </w:rPr>
        <w:t xml:space="preserve">, 37% des </w:t>
      </w:r>
      <w:r w:rsidR="00F20FCE" w:rsidRPr="33C4CB8E">
        <w:rPr>
          <w:rFonts w:cs="Arial"/>
          <w:lang w:val="fr-BE"/>
        </w:rPr>
        <w:t>affiliés à domicile sont malades chroniques.</w:t>
      </w:r>
    </w:p>
    <w:p w14:paraId="1C4A5A77" w14:textId="77777777" w:rsidR="00F20FCE" w:rsidRPr="006D0C21" w:rsidRDefault="00F20FCE" w:rsidP="006D0C21">
      <w:pPr>
        <w:pStyle w:val="Tableau"/>
      </w:pPr>
    </w:p>
    <w:p w14:paraId="381BAFB1" w14:textId="582A751A" w:rsidR="006A4BA7" w:rsidRPr="006D0C21" w:rsidRDefault="006A4BA7" w:rsidP="006D0C21">
      <w:pPr>
        <w:pStyle w:val="Tableau"/>
      </w:pPr>
      <w:bookmarkStart w:id="6" w:name="_Toc130195829"/>
      <w:r w:rsidRPr="006D0C21">
        <w:t>Tab</w:t>
      </w:r>
      <w:r w:rsidR="00884A43" w:rsidRPr="006D0C21">
        <w:t>leau</w:t>
      </w:r>
      <w:r w:rsidRPr="006D0C21">
        <w:t xml:space="preserve"> 1: </w:t>
      </w:r>
      <w:r w:rsidR="009B48DC" w:rsidRPr="006D0C21">
        <w:t>Caractéristiques des affiliés de 70 ans et plus selon le moment de l’entrée en maison de repos, avant 2021 versus durant les six premiers mois de 2021</w:t>
      </w:r>
      <w:bookmarkEnd w:id="6"/>
    </w:p>
    <w:tbl>
      <w:tblPr>
        <w:tblStyle w:val="Solidaris"/>
        <w:tblW w:w="0" w:type="auto"/>
        <w:tblLook w:val="04E0" w:firstRow="1" w:lastRow="1" w:firstColumn="1" w:lastColumn="0" w:noHBand="0" w:noVBand="1"/>
      </w:tblPr>
      <w:tblGrid>
        <w:gridCol w:w="4536"/>
        <w:gridCol w:w="2268"/>
        <w:gridCol w:w="2212"/>
      </w:tblGrid>
      <w:tr w:rsidR="009B48DC" w:rsidRPr="002149EF" w14:paraId="556C8237" w14:textId="77777777" w:rsidTr="001B5B2A">
        <w:trPr>
          <w:cnfStyle w:val="100000000000" w:firstRow="1" w:lastRow="0" w:firstColumn="0" w:lastColumn="0" w:oddVBand="0" w:evenVBand="0" w:oddHBand="0" w:evenHBand="0" w:firstRowFirstColumn="0" w:firstRowLastColumn="0" w:lastRowFirstColumn="0" w:lastRowLastColumn="0"/>
        </w:trPr>
        <w:tc>
          <w:tcPr>
            <w:tcW w:w="4536" w:type="dxa"/>
          </w:tcPr>
          <w:p w14:paraId="192FFB9C" w14:textId="6CD2F5A3" w:rsidR="009B48DC" w:rsidRPr="007044B5" w:rsidRDefault="009B48DC" w:rsidP="001D67D1">
            <w:pPr>
              <w:jc w:val="both"/>
              <w:rPr>
                <w:sz w:val="18"/>
                <w:szCs w:val="18"/>
              </w:rPr>
            </w:pPr>
            <w:proofErr w:type="spellStart"/>
            <w:r w:rsidRPr="007044B5">
              <w:rPr>
                <w:sz w:val="18"/>
                <w:szCs w:val="18"/>
                <w:lang w:val="nl-BE"/>
              </w:rPr>
              <w:t>Caractéristique</w:t>
            </w:r>
            <w:proofErr w:type="spellEnd"/>
            <w:r w:rsidRPr="007044B5">
              <w:rPr>
                <w:sz w:val="18"/>
                <w:szCs w:val="18"/>
                <w:lang w:val="nl-BE"/>
              </w:rPr>
              <w:t xml:space="preserve"> </w:t>
            </w:r>
            <w:proofErr w:type="spellStart"/>
            <w:r w:rsidRPr="007044B5">
              <w:rPr>
                <w:sz w:val="18"/>
                <w:szCs w:val="18"/>
                <w:lang w:val="nl-BE"/>
              </w:rPr>
              <w:t>sociodémographique</w:t>
            </w:r>
            <w:proofErr w:type="spellEnd"/>
          </w:p>
        </w:tc>
        <w:tc>
          <w:tcPr>
            <w:tcW w:w="2268" w:type="dxa"/>
            <w:vAlign w:val="top"/>
          </w:tcPr>
          <w:p w14:paraId="60D44F22" w14:textId="443639AD" w:rsidR="009B48DC" w:rsidRPr="007044B5" w:rsidRDefault="009B48DC" w:rsidP="0052051F">
            <w:pPr>
              <w:rPr>
                <w:sz w:val="18"/>
                <w:szCs w:val="18"/>
              </w:rPr>
            </w:pPr>
            <w:r w:rsidRPr="007044B5">
              <w:rPr>
                <w:sz w:val="18"/>
                <w:szCs w:val="18"/>
              </w:rPr>
              <w:t>Affiliés entrés en maison de repos avant 2021</w:t>
            </w:r>
          </w:p>
        </w:tc>
        <w:tc>
          <w:tcPr>
            <w:tcW w:w="2212" w:type="dxa"/>
            <w:vAlign w:val="top"/>
          </w:tcPr>
          <w:p w14:paraId="4BECC5C9" w14:textId="5F344ED1" w:rsidR="009B48DC" w:rsidRPr="007044B5" w:rsidRDefault="009B48DC" w:rsidP="00235AAA">
            <w:pPr>
              <w:rPr>
                <w:sz w:val="18"/>
                <w:szCs w:val="18"/>
              </w:rPr>
            </w:pPr>
            <w:r w:rsidRPr="007044B5">
              <w:rPr>
                <w:sz w:val="18"/>
                <w:szCs w:val="18"/>
              </w:rPr>
              <w:t>Affiliés entrés en maison de repos en 2021 (1</w:t>
            </w:r>
            <w:r w:rsidR="00235AAA" w:rsidRPr="00235AAA">
              <w:rPr>
                <w:sz w:val="18"/>
                <w:szCs w:val="18"/>
              </w:rPr>
              <w:t xml:space="preserve">er </w:t>
            </w:r>
            <w:r w:rsidRPr="007044B5">
              <w:rPr>
                <w:sz w:val="18"/>
                <w:szCs w:val="18"/>
              </w:rPr>
              <w:t>semestre)</w:t>
            </w:r>
          </w:p>
        </w:tc>
      </w:tr>
      <w:tr w:rsidR="009B48DC" w:rsidRPr="007044B5" w14:paraId="2ED28FAC" w14:textId="77777777" w:rsidTr="001B5B2A">
        <w:trPr>
          <w:cnfStyle w:val="000000100000" w:firstRow="0" w:lastRow="0" w:firstColumn="0" w:lastColumn="0" w:oddVBand="0" w:evenVBand="0" w:oddHBand="1" w:evenHBand="0" w:firstRowFirstColumn="0" w:firstRowLastColumn="0" w:lastRowFirstColumn="0" w:lastRowLastColumn="0"/>
          <w:trHeight w:val="340"/>
        </w:trPr>
        <w:tc>
          <w:tcPr>
            <w:tcW w:w="4536" w:type="dxa"/>
            <w:vAlign w:val="top"/>
          </w:tcPr>
          <w:p w14:paraId="3ECC5BC9" w14:textId="506549BD" w:rsidR="009B48DC" w:rsidRPr="007044B5" w:rsidRDefault="009B48DC" w:rsidP="001D67D1">
            <w:pPr>
              <w:jc w:val="both"/>
              <w:rPr>
                <w:sz w:val="18"/>
                <w:szCs w:val="18"/>
              </w:rPr>
            </w:pPr>
            <w:r w:rsidRPr="007044B5">
              <w:rPr>
                <w:sz w:val="18"/>
                <w:szCs w:val="18"/>
              </w:rPr>
              <w:t>Age moyen</w:t>
            </w:r>
          </w:p>
        </w:tc>
        <w:tc>
          <w:tcPr>
            <w:tcW w:w="2268" w:type="dxa"/>
          </w:tcPr>
          <w:p w14:paraId="40EA05C3" w14:textId="5FD24EA1" w:rsidR="009B48DC" w:rsidRPr="007044B5" w:rsidRDefault="009B48DC" w:rsidP="0052051F">
            <w:pPr>
              <w:rPr>
                <w:sz w:val="18"/>
                <w:szCs w:val="18"/>
              </w:rPr>
            </w:pPr>
            <w:r w:rsidRPr="007044B5">
              <w:rPr>
                <w:sz w:val="18"/>
                <w:szCs w:val="18"/>
              </w:rPr>
              <w:t>85 ans</w:t>
            </w:r>
          </w:p>
        </w:tc>
        <w:tc>
          <w:tcPr>
            <w:tcW w:w="2212" w:type="dxa"/>
          </w:tcPr>
          <w:p w14:paraId="6CEBD836" w14:textId="16D8BD05" w:rsidR="009B48DC" w:rsidRPr="007044B5" w:rsidRDefault="009B48DC" w:rsidP="0052051F">
            <w:pPr>
              <w:rPr>
                <w:sz w:val="18"/>
                <w:szCs w:val="18"/>
              </w:rPr>
            </w:pPr>
            <w:r w:rsidRPr="007044B5">
              <w:rPr>
                <w:sz w:val="18"/>
                <w:szCs w:val="18"/>
              </w:rPr>
              <w:t>84 ans</w:t>
            </w:r>
          </w:p>
        </w:tc>
      </w:tr>
      <w:tr w:rsidR="009B48DC" w:rsidRPr="007044B5" w14:paraId="1B63D89C" w14:textId="77777777" w:rsidTr="001B5B2A">
        <w:trPr>
          <w:trHeight w:val="340"/>
        </w:trPr>
        <w:tc>
          <w:tcPr>
            <w:tcW w:w="4536" w:type="dxa"/>
            <w:vAlign w:val="top"/>
          </w:tcPr>
          <w:p w14:paraId="5EDE7D4B" w14:textId="74921B74" w:rsidR="009B48DC" w:rsidRPr="007044B5" w:rsidRDefault="009B48DC" w:rsidP="001D67D1">
            <w:pPr>
              <w:jc w:val="both"/>
              <w:rPr>
                <w:sz w:val="18"/>
                <w:szCs w:val="18"/>
              </w:rPr>
            </w:pPr>
            <w:r w:rsidRPr="007044B5">
              <w:rPr>
                <w:sz w:val="18"/>
                <w:szCs w:val="18"/>
              </w:rPr>
              <w:t>% Femmes</w:t>
            </w:r>
          </w:p>
        </w:tc>
        <w:tc>
          <w:tcPr>
            <w:tcW w:w="2268" w:type="dxa"/>
          </w:tcPr>
          <w:p w14:paraId="18798ED9" w14:textId="77777777" w:rsidR="009B48DC" w:rsidRPr="007044B5" w:rsidRDefault="009B48DC" w:rsidP="0052051F">
            <w:pPr>
              <w:rPr>
                <w:sz w:val="18"/>
                <w:szCs w:val="18"/>
              </w:rPr>
            </w:pPr>
            <w:r w:rsidRPr="007044B5">
              <w:rPr>
                <w:sz w:val="18"/>
                <w:szCs w:val="18"/>
              </w:rPr>
              <w:t>76%</w:t>
            </w:r>
          </w:p>
        </w:tc>
        <w:tc>
          <w:tcPr>
            <w:tcW w:w="2212" w:type="dxa"/>
          </w:tcPr>
          <w:p w14:paraId="0A69E431" w14:textId="77777777" w:rsidR="009B48DC" w:rsidRPr="007044B5" w:rsidRDefault="009B48DC" w:rsidP="0052051F">
            <w:pPr>
              <w:rPr>
                <w:sz w:val="18"/>
                <w:szCs w:val="18"/>
              </w:rPr>
            </w:pPr>
            <w:r w:rsidRPr="007044B5">
              <w:rPr>
                <w:sz w:val="18"/>
                <w:szCs w:val="18"/>
              </w:rPr>
              <w:t>71%</w:t>
            </w:r>
          </w:p>
        </w:tc>
      </w:tr>
      <w:tr w:rsidR="009B48DC" w:rsidRPr="007044B5" w14:paraId="122848D3" w14:textId="77777777" w:rsidTr="001B5B2A">
        <w:trPr>
          <w:cnfStyle w:val="000000100000" w:firstRow="0" w:lastRow="0" w:firstColumn="0" w:lastColumn="0" w:oddVBand="0" w:evenVBand="0" w:oddHBand="1" w:evenHBand="0" w:firstRowFirstColumn="0" w:firstRowLastColumn="0" w:lastRowFirstColumn="0" w:lastRowLastColumn="0"/>
          <w:trHeight w:val="340"/>
        </w:trPr>
        <w:tc>
          <w:tcPr>
            <w:tcW w:w="4536" w:type="dxa"/>
            <w:vAlign w:val="top"/>
          </w:tcPr>
          <w:p w14:paraId="6079A3F9" w14:textId="7D259F07" w:rsidR="009B48DC" w:rsidRPr="007044B5" w:rsidRDefault="009B48DC" w:rsidP="001D67D1">
            <w:pPr>
              <w:jc w:val="both"/>
              <w:rPr>
                <w:sz w:val="18"/>
                <w:szCs w:val="18"/>
              </w:rPr>
            </w:pPr>
            <w:r w:rsidRPr="007044B5">
              <w:rPr>
                <w:sz w:val="18"/>
                <w:szCs w:val="18"/>
              </w:rPr>
              <w:t>% BIM</w:t>
            </w:r>
          </w:p>
        </w:tc>
        <w:tc>
          <w:tcPr>
            <w:tcW w:w="2268" w:type="dxa"/>
          </w:tcPr>
          <w:p w14:paraId="3594765A" w14:textId="77777777" w:rsidR="009B48DC" w:rsidRPr="007044B5" w:rsidRDefault="009B48DC" w:rsidP="0052051F">
            <w:pPr>
              <w:rPr>
                <w:sz w:val="18"/>
                <w:szCs w:val="18"/>
              </w:rPr>
            </w:pPr>
            <w:r w:rsidRPr="007044B5">
              <w:rPr>
                <w:sz w:val="18"/>
                <w:szCs w:val="18"/>
              </w:rPr>
              <w:t>56%</w:t>
            </w:r>
          </w:p>
        </w:tc>
        <w:tc>
          <w:tcPr>
            <w:tcW w:w="2212" w:type="dxa"/>
          </w:tcPr>
          <w:p w14:paraId="1B8D2DF1" w14:textId="77777777" w:rsidR="009B48DC" w:rsidRPr="007044B5" w:rsidRDefault="009B48DC" w:rsidP="0052051F">
            <w:pPr>
              <w:rPr>
                <w:sz w:val="18"/>
                <w:szCs w:val="18"/>
              </w:rPr>
            </w:pPr>
            <w:r w:rsidRPr="007044B5">
              <w:rPr>
                <w:sz w:val="18"/>
                <w:szCs w:val="18"/>
              </w:rPr>
              <w:t>45%</w:t>
            </w:r>
          </w:p>
        </w:tc>
      </w:tr>
      <w:tr w:rsidR="006A4BA7" w:rsidRPr="007044B5" w14:paraId="2CA13412" w14:textId="77777777" w:rsidTr="00571EEA">
        <w:trPr>
          <w:trHeight w:val="340"/>
        </w:trPr>
        <w:tc>
          <w:tcPr>
            <w:tcW w:w="4536" w:type="dxa"/>
          </w:tcPr>
          <w:p w14:paraId="2E7E8B10" w14:textId="3B2655B7" w:rsidR="006A4BA7" w:rsidRPr="007044B5" w:rsidRDefault="009B48DC" w:rsidP="001D67D1">
            <w:pPr>
              <w:jc w:val="both"/>
              <w:rPr>
                <w:sz w:val="18"/>
                <w:szCs w:val="18"/>
                <w:lang w:val="nl-BE"/>
              </w:rPr>
            </w:pPr>
            <w:r w:rsidRPr="007044B5">
              <w:rPr>
                <w:sz w:val="18"/>
                <w:szCs w:val="18"/>
                <w:lang w:val="nl-BE"/>
              </w:rPr>
              <w:t xml:space="preserve">% </w:t>
            </w:r>
            <w:proofErr w:type="spellStart"/>
            <w:r w:rsidRPr="007044B5">
              <w:rPr>
                <w:sz w:val="18"/>
                <w:szCs w:val="18"/>
                <w:lang w:val="nl-BE"/>
              </w:rPr>
              <w:t>Malades</w:t>
            </w:r>
            <w:proofErr w:type="spellEnd"/>
            <w:r w:rsidRPr="007044B5">
              <w:rPr>
                <w:sz w:val="18"/>
                <w:szCs w:val="18"/>
                <w:lang w:val="nl-BE"/>
              </w:rPr>
              <w:t xml:space="preserve"> </w:t>
            </w:r>
            <w:proofErr w:type="spellStart"/>
            <w:r w:rsidRPr="007044B5">
              <w:rPr>
                <w:sz w:val="18"/>
                <w:szCs w:val="18"/>
                <w:lang w:val="nl-BE"/>
              </w:rPr>
              <w:t>chroniques</w:t>
            </w:r>
            <w:proofErr w:type="spellEnd"/>
          </w:p>
        </w:tc>
        <w:tc>
          <w:tcPr>
            <w:tcW w:w="2268" w:type="dxa"/>
          </w:tcPr>
          <w:p w14:paraId="47A9B86F" w14:textId="77777777" w:rsidR="006A4BA7" w:rsidRPr="007044B5" w:rsidRDefault="006A4BA7" w:rsidP="0052051F">
            <w:pPr>
              <w:rPr>
                <w:sz w:val="18"/>
                <w:szCs w:val="18"/>
              </w:rPr>
            </w:pPr>
            <w:r w:rsidRPr="007044B5">
              <w:rPr>
                <w:sz w:val="18"/>
                <w:szCs w:val="18"/>
              </w:rPr>
              <w:t>82%</w:t>
            </w:r>
          </w:p>
        </w:tc>
        <w:tc>
          <w:tcPr>
            <w:tcW w:w="2212" w:type="dxa"/>
          </w:tcPr>
          <w:p w14:paraId="55154913" w14:textId="77777777" w:rsidR="006A4BA7" w:rsidRPr="007044B5" w:rsidRDefault="006A4BA7" w:rsidP="0052051F">
            <w:pPr>
              <w:rPr>
                <w:sz w:val="18"/>
                <w:szCs w:val="18"/>
              </w:rPr>
            </w:pPr>
            <w:r w:rsidRPr="007044B5">
              <w:rPr>
                <w:sz w:val="18"/>
                <w:szCs w:val="18"/>
              </w:rPr>
              <w:t>58%</w:t>
            </w:r>
          </w:p>
        </w:tc>
      </w:tr>
      <w:tr w:rsidR="006A4BA7" w:rsidRPr="007044B5" w14:paraId="4F5709BC" w14:textId="77777777" w:rsidTr="00571EEA">
        <w:trPr>
          <w:cnfStyle w:val="010000000000" w:firstRow="0" w:lastRow="1" w:firstColumn="0" w:lastColumn="0" w:oddVBand="0" w:evenVBand="0" w:oddHBand="0" w:evenHBand="0" w:firstRowFirstColumn="0" w:firstRowLastColumn="0" w:lastRowFirstColumn="0" w:lastRowLastColumn="0"/>
        </w:trPr>
        <w:tc>
          <w:tcPr>
            <w:tcW w:w="4536" w:type="dxa"/>
          </w:tcPr>
          <w:p w14:paraId="3F576C08" w14:textId="77777777" w:rsidR="006A4BA7" w:rsidRPr="007044B5" w:rsidRDefault="006A4BA7" w:rsidP="001D67D1">
            <w:pPr>
              <w:jc w:val="both"/>
              <w:rPr>
                <w:sz w:val="18"/>
                <w:szCs w:val="18"/>
              </w:rPr>
            </w:pPr>
          </w:p>
        </w:tc>
        <w:tc>
          <w:tcPr>
            <w:tcW w:w="2268" w:type="dxa"/>
          </w:tcPr>
          <w:p w14:paraId="17D8526A" w14:textId="77777777" w:rsidR="006A4BA7" w:rsidRPr="007044B5" w:rsidRDefault="006A4BA7" w:rsidP="001D67D1">
            <w:pPr>
              <w:jc w:val="both"/>
              <w:rPr>
                <w:sz w:val="18"/>
                <w:szCs w:val="18"/>
              </w:rPr>
            </w:pPr>
          </w:p>
        </w:tc>
        <w:tc>
          <w:tcPr>
            <w:tcW w:w="2212" w:type="dxa"/>
          </w:tcPr>
          <w:p w14:paraId="60DE6860" w14:textId="77777777" w:rsidR="006A4BA7" w:rsidRPr="007044B5" w:rsidRDefault="006A4BA7" w:rsidP="001D67D1">
            <w:pPr>
              <w:jc w:val="both"/>
              <w:rPr>
                <w:sz w:val="18"/>
                <w:szCs w:val="18"/>
              </w:rPr>
            </w:pPr>
          </w:p>
        </w:tc>
      </w:tr>
    </w:tbl>
    <w:p w14:paraId="591D497C" w14:textId="3FC2F303" w:rsidR="006A4BA7" w:rsidRPr="009B48DC" w:rsidRDefault="008746EA" w:rsidP="001D67D1">
      <w:pPr>
        <w:spacing w:after="0"/>
        <w:jc w:val="both"/>
        <w:rPr>
          <w:szCs w:val="20"/>
          <w:lang w:val="fr-BE"/>
        </w:rPr>
      </w:pPr>
      <w:r w:rsidRPr="009B48DC">
        <w:rPr>
          <w:szCs w:val="20"/>
          <w:lang w:val="fr-BE"/>
        </w:rPr>
        <w:t xml:space="preserve">Source </w:t>
      </w:r>
      <w:r w:rsidR="006A4BA7" w:rsidRPr="009B48DC">
        <w:rPr>
          <w:szCs w:val="20"/>
          <w:lang w:val="fr-BE"/>
        </w:rPr>
        <w:t>: Solidaris</w:t>
      </w:r>
    </w:p>
    <w:p w14:paraId="31BA34A4" w14:textId="77777777" w:rsidR="008746EA" w:rsidRPr="009B48DC" w:rsidRDefault="008746EA" w:rsidP="001D67D1">
      <w:pPr>
        <w:spacing w:after="0"/>
        <w:jc w:val="both"/>
        <w:rPr>
          <w:szCs w:val="20"/>
          <w:lang w:val="fr-BE"/>
        </w:rPr>
      </w:pPr>
    </w:p>
    <w:p w14:paraId="4F823E9C" w14:textId="77777777" w:rsidR="008746EA" w:rsidRPr="009B48DC" w:rsidRDefault="008746EA" w:rsidP="001D67D1">
      <w:pPr>
        <w:spacing w:after="0"/>
        <w:jc w:val="both"/>
        <w:rPr>
          <w:rFonts w:cs="Arial"/>
          <w:szCs w:val="20"/>
          <w:lang w:val="fr-BE"/>
        </w:rPr>
      </w:pPr>
      <w:r w:rsidRPr="009B48DC">
        <w:rPr>
          <w:rFonts w:cs="Arial"/>
          <w:szCs w:val="20"/>
          <w:lang w:val="fr-BE"/>
        </w:rPr>
        <w:t xml:space="preserve">L’évolution de la consommation de médicaments est analysée sous trois dimensions différentes : </w:t>
      </w:r>
    </w:p>
    <w:p w14:paraId="52A8C801" w14:textId="77777777" w:rsidR="008746EA" w:rsidRPr="009B48DC" w:rsidRDefault="008746EA" w:rsidP="001D67D1">
      <w:pPr>
        <w:pStyle w:val="Paragraphedeliste"/>
        <w:numPr>
          <w:ilvl w:val="0"/>
          <w:numId w:val="29"/>
        </w:numPr>
        <w:spacing w:before="120" w:after="120" w:line="240" w:lineRule="auto"/>
        <w:ind w:left="714" w:hanging="357"/>
        <w:contextualSpacing w:val="0"/>
        <w:jc w:val="both"/>
        <w:rPr>
          <w:rFonts w:cs="Arial"/>
          <w:szCs w:val="20"/>
          <w:lang w:val="fr-BE"/>
        </w:rPr>
      </w:pPr>
      <w:r w:rsidRPr="009B48DC">
        <w:rPr>
          <w:rFonts w:cs="Arial"/>
          <w:szCs w:val="20"/>
          <w:lang w:val="fr-BE"/>
        </w:rPr>
        <w:t>Le nombre moyen de DDD délivrées ;</w:t>
      </w:r>
    </w:p>
    <w:p w14:paraId="300DA655" w14:textId="45CF820A" w:rsidR="008746EA" w:rsidRPr="009B48DC" w:rsidRDefault="008746EA" w:rsidP="001D67D1">
      <w:pPr>
        <w:pStyle w:val="Paragraphedeliste"/>
        <w:numPr>
          <w:ilvl w:val="0"/>
          <w:numId w:val="29"/>
        </w:numPr>
        <w:spacing w:before="120" w:after="120" w:line="240" w:lineRule="auto"/>
        <w:ind w:left="714" w:hanging="357"/>
        <w:contextualSpacing w:val="0"/>
        <w:jc w:val="both"/>
        <w:rPr>
          <w:rFonts w:cs="Arial"/>
          <w:szCs w:val="20"/>
          <w:lang w:val="fr-BE"/>
        </w:rPr>
      </w:pPr>
      <w:r w:rsidRPr="009B48DC">
        <w:rPr>
          <w:rFonts w:cs="Arial"/>
          <w:szCs w:val="20"/>
          <w:lang w:val="fr-BE"/>
        </w:rPr>
        <w:t>La polymédication</w:t>
      </w:r>
      <w:r w:rsidRPr="009B48DC">
        <w:rPr>
          <w:rStyle w:val="Appelnotedebasdep"/>
          <w:rFonts w:cs="Arial"/>
          <w:szCs w:val="20"/>
          <w:lang w:val="fr-BE"/>
        </w:rPr>
        <w:footnoteReference w:id="18"/>
      </w:r>
      <w:r w:rsidRPr="009B48DC">
        <w:rPr>
          <w:rFonts w:cs="Arial"/>
          <w:szCs w:val="20"/>
          <w:lang w:val="fr-BE"/>
        </w:rPr>
        <w:t>, en examinant le nombre de systèmes traités sur base de la classe ATC-1</w:t>
      </w:r>
      <w:r w:rsidRPr="009B48DC">
        <w:rPr>
          <w:rFonts w:cs="Arial"/>
          <w:szCs w:val="20"/>
          <w:vertAlign w:val="superscript"/>
          <w:lang w:val="fr-BE"/>
        </w:rPr>
        <w:t>er</w:t>
      </w:r>
      <w:r w:rsidRPr="009B48DC">
        <w:rPr>
          <w:rFonts w:cs="Arial"/>
          <w:szCs w:val="20"/>
          <w:lang w:val="fr-BE"/>
        </w:rPr>
        <w:t xml:space="preserve"> niveau mais également le nombre de classes thérapeutiques délivrées sur base de la classe ATC-4</w:t>
      </w:r>
      <w:r w:rsidRPr="009B48DC">
        <w:rPr>
          <w:rFonts w:cs="Arial"/>
          <w:szCs w:val="20"/>
          <w:vertAlign w:val="superscript"/>
          <w:lang w:val="fr-BE"/>
        </w:rPr>
        <w:t>ème</w:t>
      </w:r>
      <w:r w:rsidRPr="009B48DC">
        <w:rPr>
          <w:rFonts w:cs="Arial"/>
          <w:szCs w:val="20"/>
          <w:lang w:val="fr-BE"/>
        </w:rPr>
        <w:t xml:space="preserve"> niveau ;</w:t>
      </w:r>
    </w:p>
    <w:p w14:paraId="16B2C7CC" w14:textId="77777777" w:rsidR="008746EA" w:rsidRPr="009B48DC" w:rsidRDefault="008746EA" w:rsidP="001D67D1">
      <w:pPr>
        <w:pStyle w:val="Paragraphedeliste"/>
        <w:numPr>
          <w:ilvl w:val="0"/>
          <w:numId w:val="29"/>
        </w:numPr>
        <w:spacing w:before="120" w:after="120" w:line="240" w:lineRule="auto"/>
        <w:ind w:left="714" w:hanging="357"/>
        <w:contextualSpacing w:val="0"/>
        <w:jc w:val="both"/>
        <w:rPr>
          <w:rFonts w:cs="Arial"/>
          <w:i/>
          <w:color w:val="E43600"/>
          <w:szCs w:val="20"/>
          <w:u w:val="single"/>
          <w:lang w:val="fr-FR"/>
        </w:rPr>
      </w:pPr>
      <w:r w:rsidRPr="009B48DC">
        <w:rPr>
          <w:rFonts w:cs="Arial"/>
          <w:szCs w:val="20"/>
          <w:lang w:val="fr-BE"/>
        </w:rPr>
        <w:t>Les affiliés sous traitement (soit le pourcentage des affiliés ayant reçu un traitement d’au moins 30 DDD) en distinguant pour une sélection de 10 molécules (voir ci-dessous).</w:t>
      </w:r>
    </w:p>
    <w:p w14:paraId="66694D82" w14:textId="77777777" w:rsidR="0079315B" w:rsidRPr="008746EA" w:rsidRDefault="0079315B" w:rsidP="001D67D1">
      <w:pPr>
        <w:jc w:val="both"/>
        <w:rPr>
          <w:lang w:val="fr-FR"/>
        </w:rPr>
      </w:pPr>
    </w:p>
    <w:p w14:paraId="65EEE147" w14:textId="22D0712A" w:rsidR="00AA4577" w:rsidRPr="00365CC3" w:rsidRDefault="004A5F00" w:rsidP="001D67D1">
      <w:pPr>
        <w:pStyle w:val="Titre3"/>
        <w:jc w:val="both"/>
        <w:rPr>
          <w:lang w:val="fr-BE"/>
        </w:rPr>
      </w:pPr>
      <w:bookmarkStart w:id="7" w:name="_Toc130195922"/>
      <w:r w:rsidRPr="00365CC3">
        <w:rPr>
          <w:lang w:val="fr-BE"/>
        </w:rPr>
        <w:t>S</w:t>
      </w:r>
      <w:r w:rsidR="005335BA">
        <w:rPr>
          <w:lang w:val="fr-BE"/>
        </w:rPr>
        <w:t>é</w:t>
      </w:r>
      <w:r w:rsidRPr="00365CC3">
        <w:rPr>
          <w:lang w:val="fr-BE"/>
        </w:rPr>
        <w:t>lecti</w:t>
      </w:r>
      <w:r w:rsidR="005335BA">
        <w:rPr>
          <w:lang w:val="fr-BE"/>
        </w:rPr>
        <w:t>on des médicaments</w:t>
      </w:r>
      <w:bookmarkEnd w:id="7"/>
    </w:p>
    <w:p w14:paraId="5884B73E" w14:textId="298CB719" w:rsidR="00F0403B" w:rsidRPr="00F0403B" w:rsidRDefault="00F0403B" w:rsidP="001D67D1">
      <w:pPr>
        <w:jc w:val="both"/>
        <w:rPr>
          <w:rFonts w:cs="Arial"/>
          <w:szCs w:val="20"/>
          <w:lang w:val="fr-FR"/>
        </w:rPr>
      </w:pPr>
      <w:r w:rsidRPr="00F0403B">
        <w:rPr>
          <w:rFonts w:cs="Arial"/>
          <w:szCs w:val="20"/>
          <w:lang w:val="fr-FR"/>
        </w:rPr>
        <w:t>Afin d’évaluer l’impact de l’institutionnalisation des affiliés sur un ensemble de traitements médicamenteux, 10 molécules présentant un intérêt particulier dans le cadre de cette étude ont été sélectionnées. Deux critères ont été suivis pour définir la sélection </w:t>
      </w:r>
      <w:r w:rsidR="00D32680">
        <w:rPr>
          <w:rFonts w:cs="Arial"/>
          <w:szCs w:val="20"/>
          <w:lang w:val="fr-FR"/>
        </w:rPr>
        <w:t xml:space="preserve">(Tableau 2) </w:t>
      </w:r>
      <w:r w:rsidRPr="00F0403B">
        <w:rPr>
          <w:rFonts w:cs="Arial"/>
          <w:szCs w:val="20"/>
          <w:lang w:val="fr-FR"/>
        </w:rPr>
        <w:t>:</w:t>
      </w:r>
    </w:p>
    <w:p w14:paraId="7676A9D9" w14:textId="77777777" w:rsidR="00F0403B" w:rsidRPr="00F0403B" w:rsidRDefault="00F0403B" w:rsidP="001D67D1">
      <w:pPr>
        <w:pStyle w:val="Paragraphedeliste"/>
        <w:numPr>
          <w:ilvl w:val="0"/>
          <w:numId w:val="30"/>
        </w:numPr>
        <w:spacing w:before="120" w:after="120" w:line="240" w:lineRule="auto"/>
        <w:ind w:left="714" w:hanging="357"/>
        <w:contextualSpacing w:val="0"/>
        <w:jc w:val="both"/>
        <w:rPr>
          <w:rFonts w:cs="Arial"/>
          <w:szCs w:val="20"/>
          <w:lang w:val="fr-FR"/>
        </w:rPr>
      </w:pPr>
      <w:r w:rsidRPr="00F0403B">
        <w:rPr>
          <w:rFonts w:cs="Arial"/>
          <w:szCs w:val="20"/>
          <w:lang w:val="fr-FR"/>
        </w:rPr>
        <w:t xml:space="preserve">Un premier </w:t>
      </w:r>
      <w:r w:rsidRPr="00F0403B">
        <w:rPr>
          <w:rFonts w:cs="Arial"/>
          <w:szCs w:val="20"/>
          <w:u w:val="single"/>
          <w:lang w:val="fr-FR"/>
        </w:rPr>
        <w:t>critère de volume</w:t>
      </w:r>
      <w:r w:rsidRPr="00F0403B">
        <w:rPr>
          <w:rFonts w:cs="Arial"/>
          <w:szCs w:val="20"/>
          <w:lang w:val="fr-FR"/>
        </w:rPr>
        <w:t> : les molécules les plus délivrées (en termes de DDD ou de nombre d’affiliés) aux personnes de 70 ans et plus en 2021 ont été sélectionnées. On retrouve les antihypertenseurs, les antiagrégants, les statines et les inhibiteurs de la pompe à proton.</w:t>
      </w:r>
    </w:p>
    <w:p w14:paraId="415EF25A" w14:textId="36DE1EFE" w:rsidR="00F0403B" w:rsidRPr="00F0403B" w:rsidRDefault="00F0403B" w:rsidP="001D67D1">
      <w:pPr>
        <w:pStyle w:val="Paragraphedeliste"/>
        <w:numPr>
          <w:ilvl w:val="0"/>
          <w:numId w:val="30"/>
        </w:numPr>
        <w:spacing w:before="120" w:after="120" w:line="240" w:lineRule="auto"/>
        <w:ind w:left="714" w:hanging="357"/>
        <w:contextualSpacing w:val="0"/>
        <w:jc w:val="both"/>
        <w:rPr>
          <w:rFonts w:cs="Arial"/>
          <w:szCs w:val="20"/>
          <w:lang w:val="fr-FR"/>
        </w:rPr>
      </w:pPr>
      <w:r w:rsidRPr="00F0403B">
        <w:rPr>
          <w:rFonts w:cs="Arial"/>
          <w:szCs w:val="20"/>
          <w:lang w:val="fr-FR"/>
        </w:rPr>
        <w:t xml:space="preserve">Un second </w:t>
      </w:r>
      <w:r w:rsidRPr="00F0403B">
        <w:rPr>
          <w:rFonts w:cs="Arial"/>
          <w:szCs w:val="20"/>
          <w:u w:val="single"/>
          <w:lang w:val="fr-FR"/>
        </w:rPr>
        <w:t>critère de « santé publique »</w:t>
      </w:r>
      <w:r w:rsidRPr="00F0403B">
        <w:rPr>
          <w:rFonts w:cs="Arial"/>
          <w:szCs w:val="20"/>
          <w:lang w:val="fr-FR"/>
        </w:rPr>
        <w:t> : les molécules présentant un intérêt sur base de problèmes connus et d’ordre de santé publique. A savoir</w:t>
      </w:r>
      <w:r w:rsidR="00D32680">
        <w:rPr>
          <w:rFonts w:cs="Arial"/>
          <w:szCs w:val="20"/>
          <w:lang w:val="fr-FR"/>
        </w:rPr>
        <w:t> : (a)</w:t>
      </w:r>
      <w:r w:rsidRPr="00F0403B">
        <w:rPr>
          <w:rFonts w:cs="Arial"/>
          <w:szCs w:val="20"/>
          <w:lang w:val="fr-FR"/>
        </w:rPr>
        <w:t xml:space="preserve"> les antidépresseurs et les antipsychotiques dont la plus forte consommation en maison de repos a été mise en évidence dans la littérature ; </w:t>
      </w:r>
      <w:r w:rsidR="00D32680">
        <w:rPr>
          <w:rFonts w:cs="Arial"/>
          <w:szCs w:val="20"/>
          <w:lang w:val="fr-FR"/>
        </w:rPr>
        <w:t xml:space="preserve">(b) </w:t>
      </w:r>
      <w:r w:rsidRPr="00F0403B">
        <w:rPr>
          <w:rFonts w:cs="Arial"/>
          <w:szCs w:val="20"/>
          <w:lang w:val="fr-FR"/>
        </w:rPr>
        <w:t xml:space="preserve">les antibiotiques qui sont relativement fort délivrés alors qu’ils peuvent être responsables du développement de la résistance bactérienne en cas de trop </w:t>
      </w:r>
      <w:r w:rsidRPr="00F0403B">
        <w:rPr>
          <w:rFonts w:cs="Arial"/>
          <w:szCs w:val="20"/>
          <w:lang w:val="fr-FR"/>
        </w:rPr>
        <w:lastRenderedPageBreak/>
        <w:t xml:space="preserve">grande consommation ; </w:t>
      </w:r>
      <w:r w:rsidR="00D32680">
        <w:rPr>
          <w:rFonts w:cs="Arial"/>
          <w:szCs w:val="20"/>
          <w:lang w:val="fr-FR"/>
        </w:rPr>
        <w:t xml:space="preserve">(c) </w:t>
      </w:r>
      <w:r w:rsidRPr="00F0403B">
        <w:rPr>
          <w:rFonts w:cs="Arial"/>
          <w:szCs w:val="20"/>
          <w:lang w:val="fr-FR"/>
        </w:rPr>
        <w:t xml:space="preserve">les anti-inflammatoires qui sont souvent prescrits à la place d’antidouleurs alors qu’ils peuvent avoir un impact négatif sur les reins ; </w:t>
      </w:r>
      <w:r w:rsidR="00D32680">
        <w:rPr>
          <w:rFonts w:cs="Arial"/>
          <w:szCs w:val="20"/>
          <w:lang w:val="fr-FR"/>
        </w:rPr>
        <w:t xml:space="preserve">(d) </w:t>
      </w:r>
      <w:r w:rsidRPr="00F0403B">
        <w:rPr>
          <w:rFonts w:cs="Arial"/>
          <w:szCs w:val="20"/>
          <w:lang w:val="fr-FR"/>
        </w:rPr>
        <w:t xml:space="preserve">les antidouleurs car la douleur chronique est souvent insuffisamment ou mal traitée chez les personnes âgées et finalement, </w:t>
      </w:r>
      <w:r w:rsidR="00D32680">
        <w:rPr>
          <w:rFonts w:cs="Arial"/>
          <w:szCs w:val="20"/>
          <w:lang w:val="fr-FR"/>
        </w:rPr>
        <w:t xml:space="preserve">(e) </w:t>
      </w:r>
      <w:r w:rsidRPr="00F0403B">
        <w:rPr>
          <w:rFonts w:cs="Arial"/>
          <w:szCs w:val="20"/>
          <w:lang w:val="fr-FR"/>
        </w:rPr>
        <w:t>les hypoglycémiants qui représentent une molécule témoin dans la mesure où ils ne sont prescrits qu’en cas d’absolue nécessité pour soigner les patients atteints de diabète.</w:t>
      </w:r>
    </w:p>
    <w:p w14:paraId="72843EBC" w14:textId="77777777" w:rsidR="00F0403B" w:rsidRPr="00F0403B" w:rsidRDefault="00F0403B" w:rsidP="001D67D1">
      <w:pPr>
        <w:jc w:val="both"/>
        <w:rPr>
          <w:rFonts w:cs="Arial"/>
          <w:szCs w:val="20"/>
          <w:lang w:val="fr-FR"/>
        </w:rPr>
      </w:pPr>
    </w:p>
    <w:p w14:paraId="56679C8B" w14:textId="584E8213" w:rsidR="00F0403B" w:rsidRDefault="00F0403B" w:rsidP="001D67D1">
      <w:pPr>
        <w:spacing w:after="0"/>
        <w:jc w:val="both"/>
        <w:rPr>
          <w:rFonts w:cs="Arial"/>
          <w:szCs w:val="20"/>
          <w:lang w:val="fr-BE"/>
        </w:rPr>
      </w:pPr>
      <w:r w:rsidRPr="00F0403B">
        <w:rPr>
          <w:rFonts w:cs="Arial"/>
          <w:szCs w:val="20"/>
          <w:lang w:val="fr-FR"/>
        </w:rPr>
        <w:t xml:space="preserve">Le Tableau </w:t>
      </w:r>
      <w:r w:rsidR="00F72D23">
        <w:rPr>
          <w:rFonts w:cs="Arial"/>
          <w:szCs w:val="20"/>
          <w:lang w:val="fr-FR"/>
        </w:rPr>
        <w:t>2</w:t>
      </w:r>
      <w:r w:rsidRPr="00F0403B">
        <w:rPr>
          <w:rFonts w:cs="Arial"/>
          <w:szCs w:val="20"/>
          <w:lang w:val="fr-FR"/>
        </w:rPr>
        <w:t xml:space="preserve"> </w:t>
      </w:r>
      <w:r w:rsidRPr="00F0403B">
        <w:rPr>
          <w:rFonts w:cs="Arial"/>
          <w:szCs w:val="20"/>
          <w:lang w:val="fr-BE"/>
        </w:rPr>
        <w:t>(dans lequel les molécules sont classées par ordre décroissant du nombre DDD) reprend</w:t>
      </w:r>
      <w:r w:rsidRPr="00F0403B">
        <w:rPr>
          <w:rFonts w:cs="Arial"/>
          <w:szCs w:val="20"/>
          <w:lang w:val="fr-FR"/>
        </w:rPr>
        <w:t xml:space="preserve"> les 10 molécules sélectionnées sur base de ces deux critères. </w:t>
      </w:r>
      <w:r w:rsidRPr="00F0403B">
        <w:rPr>
          <w:rFonts w:cs="Arial"/>
          <w:szCs w:val="20"/>
          <w:lang w:val="fr-BE"/>
        </w:rPr>
        <w:t>Les antihypertenseurs sont en tête du classement : ils représentent 177.5</w:t>
      </w:r>
      <w:r w:rsidR="00F72D23">
        <w:rPr>
          <w:rFonts w:cs="Arial"/>
          <w:szCs w:val="20"/>
          <w:lang w:val="fr-BE"/>
        </w:rPr>
        <w:t>76.568</w:t>
      </w:r>
      <w:r w:rsidRPr="00F0403B">
        <w:rPr>
          <w:rFonts w:cs="Arial"/>
          <w:szCs w:val="20"/>
          <w:lang w:val="fr-BE"/>
        </w:rPr>
        <w:t xml:space="preserve"> DDD délivrées à 322.</w:t>
      </w:r>
      <w:r w:rsidR="00F72D23">
        <w:rPr>
          <w:rFonts w:cs="Arial"/>
          <w:szCs w:val="20"/>
          <w:lang w:val="fr-BE"/>
        </w:rPr>
        <w:t>218</w:t>
      </w:r>
      <w:r w:rsidRPr="00F0403B">
        <w:rPr>
          <w:rFonts w:cs="Arial"/>
          <w:szCs w:val="20"/>
          <w:lang w:val="fr-BE"/>
        </w:rPr>
        <w:t xml:space="preserve"> affiliés en 2021. </w:t>
      </w:r>
    </w:p>
    <w:p w14:paraId="2F4125FC" w14:textId="77777777" w:rsidR="00F72D23" w:rsidRDefault="00F72D23" w:rsidP="001D67D1">
      <w:pPr>
        <w:spacing w:after="0"/>
        <w:jc w:val="both"/>
        <w:rPr>
          <w:rFonts w:cs="Arial"/>
          <w:szCs w:val="20"/>
          <w:lang w:val="fr-BE"/>
        </w:rPr>
      </w:pPr>
    </w:p>
    <w:p w14:paraId="486CD560" w14:textId="1FF1652A" w:rsidR="00F72D23" w:rsidRPr="007D60F6" w:rsidRDefault="00F72D23" w:rsidP="007D60F6">
      <w:pPr>
        <w:pStyle w:val="Tableau"/>
      </w:pPr>
      <w:bookmarkStart w:id="8" w:name="_Toc130195830"/>
      <w:r w:rsidRPr="007D60F6">
        <w:t>Tableau 2 : Molécules sélectionnées pour les personnes âgées de 70 ans et plus (nombre d’affiliés et DDD), 2021</w:t>
      </w:r>
      <w:bookmarkEnd w:id="8"/>
    </w:p>
    <w:tbl>
      <w:tblPr>
        <w:tblStyle w:val="Solidaris"/>
        <w:tblW w:w="9639" w:type="dxa"/>
        <w:tblInd w:w="-284" w:type="dxa"/>
        <w:tblLayout w:type="fixed"/>
        <w:tblLook w:val="04E0" w:firstRow="1" w:lastRow="1" w:firstColumn="1" w:lastColumn="0" w:noHBand="0" w:noVBand="1"/>
      </w:tblPr>
      <w:tblGrid>
        <w:gridCol w:w="709"/>
        <w:gridCol w:w="1843"/>
        <w:gridCol w:w="2410"/>
        <w:gridCol w:w="1984"/>
        <w:gridCol w:w="1276"/>
        <w:gridCol w:w="1417"/>
      </w:tblGrid>
      <w:tr w:rsidR="00635644" w:rsidRPr="007044B5" w14:paraId="355B0994" w14:textId="77777777" w:rsidTr="00635644">
        <w:trPr>
          <w:cnfStyle w:val="100000000000" w:firstRow="1" w:lastRow="0" w:firstColumn="0" w:lastColumn="0" w:oddVBand="0" w:evenVBand="0" w:oddHBand="0" w:evenHBand="0" w:firstRowFirstColumn="0" w:firstRowLastColumn="0" w:lastRowFirstColumn="0" w:lastRowLastColumn="0"/>
        </w:trPr>
        <w:tc>
          <w:tcPr>
            <w:tcW w:w="709" w:type="dxa"/>
          </w:tcPr>
          <w:p w14:paraId="1242A8CE" w14:textId="77777777" w:rsidR="00635644" w:rsidRPr="007044B5" w:rsidRDefault="00635644" w:rsidP="0052051F">
            <w:pPr>
              <w:rPr>
                <w:sz w:val="18"/>
                <w:szCs w:val="18"/>
                <w:lang w:val="nl-BE"/>
              </w:rPr>
            </w:pPr>
            <w:r w:rsidRPr="007044B5">
              <w:rPr>
                <w:sz w:val="18"/>
                <w:szCs w:val="18"/>
                <w:lang w:val="nl-BE"/>
              </w:rPr>
              <w:t>Code ATC</w:t>
            </w:r>
          </w:p>
        </w:tc>
        <w:tc>
          <w:tcPr>
            <w:tcW w:w="1843" w:type="dxa"/>
          </w:tcPr>
          <w:p w14:paraId="2252B404" w14:textId="4C737EC4" w:rsidR="00635644" w:rsidRPr="007044B5" w:rsidRDefault="00635644" w:rsidP="0052051F">
            <w:pPr>
              <w:rPr>
                <w:sz w:val="18"/>
                <w:szCs w:val="18"/>
                <w:lang w:val="nl-BE"/>
              </w:rPr>
            </w:pPr>
            <w:r w:rsidRPr="007044B5">
              <w:rPr>
                <w:sz w:val="18"/>
                <w:szCs w:val="18"/>
                <w:lang w:val="nl-BE"/>
              </w:rPr>
              <w:t xml:space="preserve">Type de </w:t>
            </w:r>
            <w:proofErr w:type="spellStart"/>
            <w:r w:rsidRPr="007044B5">
              <w:rPr>
                <w:sz w:val="18"/>
                <w:szCs w:val="18"/>
                <w:lang w:val="nl-BE"/>
              </w:rPr>
              <w:t>médicaments</w:t>
            </w:r>
            <w:proofErr w:type="spellEnd"/>
          </w:p>
        </w:tc>
        <w:tc>
          <w:tcPr>
            <w:tcW w:w="2410" w:type="dxa"/>
          </w:tcPr>
          <w:p w14:paraId="59D0B460" w14:textId="63E7F7EA" w:rsidR="00635644" w:rsidRPr="007044B5" w:rsidRDefault="00635644" w:rsidP="0052051F">
            <w:pPr>
              <w:rPr>
                <w:sz w:val="18"/>
                <w:szCs w:val="18"/>
                <w:lang w:val="nl-BE"/>
              </w:rPr>
            </w:pPr>
            <w:proofErr w:type="spellStart"/>
            <w:r w:rsidRPr="007044B5">
              <w:rPr>
                <w:sz w:val="18"/>
                <w:szCs w:val="18"/>
                <w:lang w:val="nl-BE"/>
              </w:rPr>
              <w:t>Usage</w:t>
            </w:r>
            <w:proofErr w:type="spellEnd"/>
          </w:p>
        </w:tc>
        <w:tc>
          <w:tcPr>
            <w:tcW w:w="1984" w:type="dxa"/>
          </w:tcPr>
          <w:p w14:paraId="25088ABD" w14:textId="2BB1A484" w:rsidR="00635644" w:rsidRPr="007044B5" w:rsidRDefault="00635644" w:rsidP="0052051F">
            <w:pPr>
              <w:rPr>
                <w:sz w:val="18"/>
                <w:szCs w:val="18"/>
              </w:rPr>
            </w:pPr>
            <w:r w:rsidRPr="007044B5">
              <w:rPr>
                <w:rFonts w:cs="Calibri"/>
                <w:color w:val="FFFFFF" w:themeColor="background1"/>
                <w:sz w:val="18"/>
                <w:szCs w:val="18"/>
              </w:rPr>
              <w:t>Justification</w:t>
            </w:r>
          </w:p>
        </w:tc>
        <w:tc>
          <w:tcPr>
            <w:tcW w:w="1276" w:type="dxa"/>
          </w:tcPr>
          <w:p w14:paraId="36A4A62F" w14:textId="31EB2573" w:rsidR="00635644" w:rsidRPr="007044B5" w:rsidRDefault="00635644" w:rsidP="0052051F">
            <w:pPr>
              <w:rPr>
                <w:sz w:val="18"/>
                <w:szCs w:val="18"/>
                <w:lang w:val="nl-BE"/>
              </w:rPr>
            </w:pPr>
            <w:proofErr w:type="spellStart"/>
            <w:r w:rsidRPr="007044B5">
              <w:rPr>
                <w:sz w:val="18"/>
                <w:szCs w:val="18"/>
                <w:lang w:val="nl-BE"/>
              </w:rPr>
              <w:t>Nombre</w:t>
            </w:r>
            <w:proofErr w:type="spellEnd"/>
            <w:r w:rsidRPr="007044B5">
              <w:rPr>
                <w:sz w:val="18"/>
                <w:szCs w:val="18"/>
                <w:lang w:val="nl-BE"/>
              </w:rPr>
              <w:t xml:space="preserve"> de </w:t>
            </w:r>
            <w:proofErr w:type="spellStart"/>
            <w:r w:rsidRPr="007044B5">
              <w:rPr>
                <w:sz w:val="18"/>
                <w:szCs w:val="18"/>
                <w:lang w:val="nl-BE"/>
              </w:rPr>
              <w:t>membres</w:t>
            </w:r>
            <w:proofErr w:type="spellEnd"/>
          </w:p>
        </w:tc>
        <w:tc>
          <w:tcPr>
            <w:tcW w:w="1417" w:type="dxa"/>
          </w:tcPr>
          <w:p w14:paraId="658834B6" w14:textId="77777777" w:rsidR="00635644" w:rsidRPr="007044B5" w:rsidRDefault="00635644" w:rsidP="0052051F">
            <w:pPr>
              <w:rPr>
                <w:sz w:val="18"/>
                <w:szCs w:val="18"/>
                <w:lang w:val="nl-BE"/>
              </w:rPr>
            </w:pPr>
            <w:proofErr w:type="spellStart"/>
            <w:r w:rsidRPr="007044B5">
              <w:rPr>
                <w:sz w:val="18"/>
                <w:szCs w:val="18"/>
                <w:lang w:val="nl-BE"/>
              </w:rPr>
              <w:t>Nombre</w:t>
            </w:r>
            <w:proofErr w:type="spellEnd"/>
            <w:r w:rsidRPr="007044B5">
              <w:rPr>
                <w:sz w:val="18"/>
                <w:szCs w:val="18"/>
                <w:lang w:val="nl-BE"/>
              </w:rPr>
              <w:t xml:space="preserve"> de DDD</w:t>
            </w:r>
          </w:p>
        </w:tc>
      </w:tr>
      <w:tr w:rsidR="00635644" w:rsidRPr="007044B5" w14:paraId="72ECE3CE" w14:textId="77777777" w:rsidTr="00635644">
        <w:trPr>
          <w:cnfStyle w:val="000000100000" w:firstRow="0" w:lastRow="0" w:firstColumn="0" w:lastColumn="0" w:oddVBand="0" w:evenVBand="0" w:oddHBand="1" w:evenHBand="0" w:firstRowFirstColumn="0" w:firstRowLastColumn="0" w:lastRowFirstColumn="0" w:lastRowLastColumn="0"/>
          <w:trHeight w:val="340"/>
        </w:trPr>
        <w:tc>
          <w:tcPr>
            <w:tcW w:w="709" w:type="dxa"/>
          </w:tcPr>
          <w:p w14:paraId="008B35FB" w14:textId="77777777" w:rsidR="00635644" w:rsidRPr="007044B5" w:rsidRDefault="00635644" w:rsidP="0052051F">
            <w:pPr>
              <w:rPr>
                <w:sz w:val="18"/>
                <w:szCs w:val="18"/>
                <w:lang w:val="nl-BE"/>
              </w:rPr>
            </w:pPr>
            <w:r w:rsidRPr="007044B5">
              <w:rPr>
                <w:sz w:val="18"/>
                <w:szCs w:val="18"/>
                <w:lang w:val="nl-BE"/>
              </w:rPr>
              <w:t>C03+C07+C08+C09</w:t>
            </w:r>
          </w:p>
        </w:tc>
        <w:tc>
          <w:tcPr>
            <w:tcW w:w="1843" w:type="dxa"/>
          </w:tcPr>
          <w:p w14:paraId="77A28F09" w14:textId="1CF59D8F" w:rsidR="00635644" w:rsidRPr="007044B5" w:rsidRDefault="00635644" w:rsidP="0052051F">
            <w:pPr>
              <w:rPr>
                <w:sz w:val="18"/>
                <w:szCs w:val="18"/>
              </w:rPr>
            </w:pPr>
            <w:r w:rsidRPr="007044B5">
              <w:rPr>
                <w:rFonts w:cs="Calibri"/>
                <w:color w:val="000000"/>
                <w:sz w:val="18"/>
                <w:szCs w:val="18"/>
              </w:rPr>
              <w:t>Antihypertenseur</w:t>
            </w:r>
          </w:p>
        </w:tc>
        <w:tc>
          <w:tcPr>
            <w:tcW w:w="2410" w:type="dxa"/>
          </w:tcPr>
          <w:p w14:paraId="32563698" w14:textId="77777777" w:rsidR="00635644" w:rsidRPr="007044B5" w:rsidRDefault="00635644" w:rsidP="0052051F">
            <w:pPr>
              <w:rPr>
                <w:sz w:val="18"/>
                <w:szCs w:val="18"/>
              </w:rPr>
            </w:pPr>
            <w:r w:rsidRPr="007044B5">
              <w:rPr>
                <w:sz w:val="18"/>
                <w:szCs w:val="18"/>
              </w:rPr>
              <w:t>Maladies cardiovasculaires et hypertension artérielle</w:t>
            </w:r>
          </w:p>
        </w:tc>
        <w:tc>
          <w:tcPr>
            <w:tcW w:w="1984" w:type="dxa"/>
          </w:tcPr>
          <w:p w14:paraId="6BEBA4EA" w14:textId="590128D4" w:rsidR="00635644" w:rsidRPr="007044B5" w:rsidRDefault="00635644" w:rsidP="0052051F">
            <w:pPr>
              <w:rPr>
                <w:sz w:val="18"/>
                <w:szCs w:val="18"/>
              </w:rPr>
            </w:pPr>
            <w:r w:rsidRPr="007044B5">
              <w:rPr>
                <w:rFonts w:cs="Calibri"/>
                <w:color w:val="000000"/>
                <w:sz w:val="18"/>
                <w:szCs w:val="18"/>
              </w:rPr>
              <w:t>Molécules les plus prescrites</w:t>
            </w:r>
          </w:p>
        </w:tc>
        <w:tc>
          <w:tcPr>
            <w:tcW w:w="1276" w:type="dxa"/>
          </w:tcPr>
          <w:p w14:paraId="30794102" w14:textId="53BF45F5" w:rsidR="00635644" w:rsidRPr="007044B5" w:rsidRDefault="00635644" w:rsidP="0052051F">
            <w:pPr>
              <w:rPr>
                <w:sz w:val="18"/>
                <w:szCs w:val="18"/>
                <w:lang w:val="nl-BE"/>
              </w:rPr>
            </w:pPr>
            <w:r w:rsidRPr="007044B5">
              <w:rPr>
                <w:sz w:val="18"/>
                <w:szCs w:val="18"/>
              </w:rPr>
              <w:t>322 218</w:t>
            </w:r>
          </w:p>
        </w:tc>
        <w:tc>
          <w:tcPr>
            <w:tcW w:w="1417" w:type="dxa"/>
          </w:tcPr>
          <w:p w14:paraId="36BFB0C2" w14:textId="77777777" w:rsidR="00635644" w:rsidRPr="007044B5" w:rsidRDefault="00635644" w:rsidP="0052051F">
            <w:pPr>
              <w:rPr>
                <w:sz w:val="18"/>
                <w:szCs w:val="18"/>
                <w:lang w:val="nl-BE"/>
              </w:rPr>
            </w:pPr>
            <w:r w:rsidRPr="007044B5">
              <w:rPr>
                <w:sz w:val="18"/>
                <w:szCs w:val="18"/>
              </w:rPr>
              <w:t>177 576 568</w:t>
            </w:r>
          </w:p>
        </w:tc>
      </w:tr>
      <w:tr w:rsidR="00635644" w:rsidRPr="007044B5" w14:paraId="57F4EE45" w14:textId="77777777" w:rsidTr="00635644">
        <w:trPr>
          <w:trHeight w:val="340"/>
        </w:trPr>
        <w:tc>
          <w:tcPr>
            <w:tcW w:w="709" w:type="dxa"/>
          </w:tcPr>
          <w:p w14:paraId="04EC542B" w14:textId="77777777" w:rsidR="00635644" w:rsidRPr="007044B5" w:rsidRDefault="00635644" w:rsidP="0052051F">
            <w:pPr>
              <w:rPr>
                <w:sz w:val="18"/>
                <w:szCs w:val="18"/>
                <w:lang w:val="nl-BE"/>
              </w:rPr>
            </w:pPr>
            <w:r w:rsidRPr="007044B5">
              <w:rPr>
                <w:sz w:val="18"/>
                <w:szCs w:val="18"/>
                <w:lang w:val="nl-BE"/>
              </w:rPr>
              <w:t>B01</w:t>
            </w:r>
          </w:p>
        </w:tc>
        <w:tc>
          <w:tcPr>
            <w:tcW w:w="1843" w:type="dxa"/>
          </w:tcPr>
          <w:p w14:paraId="7965B2AF" w14:textId="3E3591BC" w:rsidR="00635644" w:rsidRPr="007044B5" w:rsidRDefault="00635644" w:rsidP="0052051F">
            <w:pPr>
              <w:rPr>
                <w:sz w:val="18"/>
                <w:szCs w:val="18"/>
                <w:lang w:val="nl-BE"/>
              </w:rPr>
            </w:pPr>
            <w:r w:rsidRPr="007044B5">
              <w:rPr>
                <w:rFonts w:cs="Calibri"/>
                <w:color w:val="000000"/>
                <w:sz w:val="18"/>
                <w:szCs w:val="18"/>
              </w:rPr>
              <w:t>Antiagrégant</w:t>
            </w:r>
          </w:p>
        </w:tc>
        <w:tc>
          <w:tcPr>
            <w:tcW w:w="2410" w:type="dxa"/>
          </w:tcPr>
          <w:p w14:paraId="4D84E533" w14:textId="77777777" w:rsidR="00635644" w:rsidRPr="007044B5" w:rsidRDefault="00635644" w:rsidP="0052051F">
            <w:pPr>
              <w:rPr>
                <w:sz w:val="18"/>
                <w:szCs w:val="18"/>
                <w:lang w:val="nl-BE"/>
              </w:rPr>
            </w:pPr>
            <w:proofErr w:type="spellStart"/>
            <w:r w:rsidRPr="007044B5">
              <w:rPr>
                <w:sz w:val="18"/>
                <w:szCs w:val="18"/>
                <w:lang w:val="nl-BE"/>
              </w:rPr>
              <w:t>Risque</w:t>
            </w:r>
            <w:proofErr w:type="spellEnd"/>
            <w:r w:rsidRPr="007044B5">
              <w:rPr>
                <w:sz w:val="18"/>
                <w:szCs w:val="18"/>
                <w:lang w:val="nl-BE"/>
              </w:rPr>
              <w:t xml:space="preserve"> de </w:t>
            </w:r>
            <w:proofErr w:type="spellStart"/>
            <w:r w:rsidRPr="007044B5">
              <w:rPr>
                <w:sz w:val="18"/>
                <w:szCs w:val="18"/>
                <w:lang w:val="nl-BE"/>
              </w:rPr>
              <w:t>thrombose</w:t>
            </w:r>
            <w:proofErr w:type="spellEnd"/>
          </w:p>
        </w:tc>
        <w:tc>
          <w:tcPr>
            <w:tcW w:w="1984" w:type="dxa"/>
          </w:tcPr>
          <w:p w14:paraId="29C20D10" w14:textId="1C8834CB" w:rsidR="00635644" w:rsidRPr="007044B5" w:rsidRDefault="00635644" w:rsidP="0052051F">
            <w:pPr>
              <w:rPr>
                <w:sz w:val="18"/>
                <w:szCs w:val="18"/>
              </w:rPr>
            </w:pPr>
            <w:r w:rsidRPr="007044B5">
              <w:rPr>
                <w:rFonts w:cs="Calibri"/>
                <w:color w:val="000000"/>
                <w:sz w:val="18"/>
                <w:szCs w:val="18"/>
              </w:rPr>
              <w:t>Molécules les plus prescrites</w:t>
            </w:r>
          </w:p>
        </w:tc>
        <w:tc>
          <w:tcPr>
            <w:tcW w:w="1276" w:type="dxa"/>
          </w:tcPr>
          <w:p w14:paraId="7E59B8A7" w14:textId="4A2287D7" w:rsidR="00635644" w:rsidRPr="007044B5" w:rsidRDefault="00635644" w:rsidP="0052051F">
            <w:pPr>
              <w:rPr>
                <w:sz w:val="18"/>
                <w:szCs w:val="18"/>
                <w:lang w:val="nl-BE"/>
              </w:rPr>
            </w:pPr>
            <w:r w:rsidRPr="007044B5">
              <w:rPr>
                <w:sz w:val="18"/>
                <w:szCs w:val="18"/>
              </w:rPr>
              <w:t>236 180</w:t>
            </w:r>
          </w:p>
        </w:tc>
        <w:tc>
          <w:tcPr>
            <w:tcW w:w="1417" w:type="dxa"/>
          </w:tcPr>
          <w:p w14:paraId="530DEAC8" w14:textId="77777777" w:rsidR="00635644" w:rsidRPr="007044B5" w:rsidRDefault="00635644" w:rsidP="0052051F">
            <w:pPr>
              <w:rPr>
                <w:sz w:val="18"/>
                <w:szCs w:val="18"/>
                <w:lang w:val="nl-BE"/>
              </w:rPr>
            </w:pPr>
            <w:r w:rsidRPr="007044B5">
              <w:rPr>
                <w:sz w:val="18"/>
                <w:szCs w:val="18"/>
              </w:rPr>
              <w:t>77 952 748</w:t>
            </w:r>
          </w:p>
        </w:tc>
      </w:tr>
      <w:tr w:rsidR="00635644" w:rsidRPr="007044B5" w14:paraId="2D402DC8" w14:textId="77777777" w:rsidTr="00635644">
        <w:trPr>
          <w:cnfStyle w:val="000000100000" w:firstRow="0" w:lastRow="0" w:firstColumn="0" w:lastColumn="0" w:oddVBand="0" w:evenVBand="0" w:oddHBand="1" w:evenHBand="0" w:firstRowFirstColumn="0" w:firstRowLastColumn="0" w:lastRowFirstColumn="0" w:lastRowLastColumn="0"/>
          <w:trHeight w:val="340"/>
        </w:trPr>
        <w:tc>
          <w:tcPr>
            <w:tcW w:w="709" w:type="dxa"/>
          </w:tcPr>
          <w:p w14:paraId="6A65B151" w14:textId="77777777" w:rsidR="00635644" w:rsidRPr="007044B5" w:rsidRDefault="00635644" w:rsidP="0052051F">
            <w:pPr>
              <w:rPr>
                <w:sz w:val="18"/>
                <w:szCs w:val="18"/>
                <w:lang w:val="nl-BE"/>
              </w:rPr>
            </w:pPr>
            <w:r w:rsidRPr="007044B5">
              <w:rPr>
                <w:sz w:val="18"/>
                <w:szCs w:val="18"/>
                <w:lang w:val="nl-BE"/>
              </w:rPr>
              <w:t>C10AA</w:t>
            </w:r>
          </w:p>
        </w:tc>
        <w:tc>
          <w:tcPr>
            <w:tcW w:w="1843" w:type="dxa"/>
          </w:tcPr>
          <w:p w14:paraId="5A5071FA" w14:textId="1FBD3CA3" w:rsidR="00635644" w:rsidRPr="007044B5" w:rsidRDefault="00635644" w:rsidP="0052051F">
            <w:pPr>
              <w:rPr>
                <w:sz w:val="18"/>
                <w:szCs w:val="18"/>
                <w:lang w:val="nl-BE"/>
              </w:rPr>
            </w:pPr>
            <w:r w:rsidRPr="007044B5">
              <w:rPr>
                <w:rFonts w:cs="Calibri"/>
                <w:color w:val="000000"/>
                <w:sz w:val="18"/>
                <w:szCs w:val="18"/>
              </w:rPr>
              <w:t>Statine</w:t>
            </w:r>
          </w:p>
        </w:tc>
        <w:tc>
          <w:tcPr>
            <w:tcW w:w="2410" w:type="dxa"/>
          </w:tcPr>
          <w:p w14:paraId="5B315FD5" w14:textId="77777777" w:rsidR="00635644" w:rsidRPr="007044B5" w:rsidRDefault="00635644" w:rsidP="0052051F">
            <w:pPr>
              <w:rPr>
                <w:sz w:val="18"/>
                <w:szCs w:val="18"/>
                <w:lang w:val="nl-BE"/>
              </w:rPr>
            </w:pPr>
            <w:r w:rsidRPr="007044B5">
              <w:rPr>
                <w:sz w:val="18"/>
                <w:szCs w:val="18"/>
                <w:lang w:val="nl-BE"/>
              </w:rPr>
              <w:t xml:space="preserve">Cholestérol </w:t>
            </w:r>
            <w:proofErr w:type="spellStart"/>
            <w:r w:rsidRPr="007044B5">
              <w:rPr>
                <w:sz w:val="18"/>
                <w:szCs w:val="18"/>
                <w:lang w:val="nl-BE"/>
              </w:rPr>
              <w:t>élevé</w:t>
            </w:r>
            <w:proofErr w:type="spellEnd"/>
          </w:p>
        </w:tc>
        <w:tc>
          <w:tcPr>
            <w:tcW w:w="1984" w:type="dxa"/>
          </w:tcPr>
          <w:p w14:paraId="6EDA400F" w14:textId="305E192D" w:rsidR="00635644" w:rsidRPr="007044B5" w:rsidRDefault="00635644" w:rsidP="0052051F">
            <w:pPr>
              <w:rPr>
                <w:sz w:val="18"/>
                <w:szCs w:val="18"/>
              </w:rPr>
            </w:pPr>
            <w:r w:rsidRPr="007044B5">
              <w:rPr>
                <w:rFonts w:cs="Calibri"/>
                <w:color w:val="000000"/>
                <w:sz w:val="18"/>
                <w:szCs w:val="18"/>
              </w:rPr>
              <w:t>Molécules les plus prescrites</w:t>
            </w:r>
          </w:p>
        </w:tc>
        <w:tc>
          <w:tcPr>
            <w:tcW w:w="1276" w:type="dxa"/>
          </w:tcPr>
          <w:p w14:paraId="10364A52" w14:textId="147BDD02" w:rsidR="00635644" w:rsidRPr="007044B5" w:rsidRDefault="00635644" w:rsidP="0052051F">
            <w:pPr>
              <w:rPr>
                <w:sz w:val="18"/>
                <w:szCs w:val="18"/>
                <w:lang w:val="nl-BE"/>
              </w:rPr>
            </w:pPr>
            <w:r w:rsidRPr="007044B5">
              <w:rPr>
                <w:sz w:val="18"/>
                <w:szCs w:val="18"/>
              </w:rPr>
              <w:t>188 989</w:t>
            </w:r>
          </w:p>
        </w:tc>
        <w:tc>
          <w:tcPr>
            <w:tcW w:w="1417" w:type="dxa"/>
          </w:tcPr>
          <w:p w14:paraId="0DCDDA66" w14:textId="77777777" w:rsidR="00635644" w:rsidRPr="007044B5" w:rsidRDefault="00635644" w:rsidP="0052051F">
            <w:pPr>
              <w:rPr>
                <w:sz w:val="18"/>
                <w:szCs w:val="18"/>
                <w:lang w:val="nl-BE"/>
              </w:rPr>
            </w:pPr>
            <w:r w:rsidRPr="007044B5">
              <w:rPr>
                <w:sz w:val="18"/>
                <w:szCs w:val="18"/>
              </w:rPr>
              <w:t>70 455 883</w:t>
            </w:r>
          </w:p>
        </w:tc>
      </w:tr>
      <w:tr w:rsidR="00635644" w:rsidRPr="007044B5" w14:paraId="7AC171ED" w14:textId="77777777" w:rsidTr="00635644">
        <w:trPr>
          <w:trHeight w:val="340"/>
        </w:trPr>
        <w:tc>
          <w:tcPr>
            <w:tcW w:w="709" w:type="dxa"/>
          </w:tcPr>
          <w:p w14:paraId="12292A60" w14:textId="77777777" w:rsidR="00635644" w:rsidRPr="007044B5" w:rsidRDefault="00635644" w:rsidP="0052051F">
            <w:pPr>
              <w:rPr>
                <w:sz w:val="18"/>
                <w:szCs w:val="18"/>
                <w:lang w:val="nl-BE"/>
              </w:rPr>
            </w:pPr>
            <w:r w:rsidRPr="007044B5">
              <w:rPr>
                <w:sz w:val="18"/>
                <w:szCs w:val="18"/>
                <w:lang w:val="nl-BE"/>
              </w:rPr>
              <w:t>A02B</w:t>
            </w:r>
          </w:p>
        </w:tc>
        <w:tc>
          <w:tcPr>
            <w:tcW w:w="1843" w:type="dxa"/>
          </w:tcPr>
          <w:p w14:paraId="504B5ABF" w14:textId="5ED6D8E3" w:rsidR="00635644" w:rsidRPr="007044B5" w:rsidRDefault="00635644" w:rsidP="0052051F">
            <w:pPr>
              <w:rPr>
                <w:sz w:val="18"/>
                <w:szCs w:val="18"/>
              </w:rPr>
            </w:pPr>
            <w:r w:rsidRPr="007044B5">
              <w:rPr>
                <w:rFonts w:cs="Calibri"/>
                <w:color w:val="000000"/>
                <w:sz w:val="18"/>
                <w:szCs w:val="18"/>
              </w:rPr>
              <w:t>Inhibiteur de la pompe à proton</w:t>
            </w:r>
          </w:p>
        </w:tc>
        <w:tc>
          <w:tcPr>
            <w:tcW w:w="2410" w:type="dxa"/>
          </w:tcPr>
          <w:p w14:paraId="75E5423A" w14:textId="77777777" w:rsidR="00635644" w:rsidRPr="007044B5" w:rsidRDefault="00635644" w:rsidP="0052051F">
            <w:pPr>
              <w:rPr>
                <w:sz w:val="18"/>
                <w:szCs w:val="18"/>
              </w:rPr>
            </w:pPr>
            <w:r w:rsidRPr="007044B5">
              <w:rPr>
                <w:sz w:val="18"/>
                <w:szCs w:val="18"/>
              </w:rPr>
              <w:t>Ulcère gastro-intestinal et reflux</w:t>
            </w:r>
          </w:p>
        </w:tc>
        <w:tc>
          <w:tcPr>
            <w:tcW w:w="1984" w:type="dxa"/>
          </w:tcPr>
          <w:p w14:paraId="1B80F40B" w14:textId="24F8AD7D" w:rsidR="00635644" w:rsidRPr="007044B5" w:rsidRDefault="00635644" w:rsidP="0052051F">
            <w:pPr>
              <w:rPr>
                <w:sz w:val="18"/>
                <w:szCs w:val="18"/>
              </w:rPr>
            </w:pPr>
            <w:r w:rsidRPr="007044B5">
              <w:rPr>
                <w:rFonts w:cs="Calibri"/>
                <w:color w:val="000000"/>
                <w:sz w:val="18"/>
                <w:szCs w:val="18"/>
              </w:rPr>
              <w:t>Molécules les plus prescrites</w:t>
            </w:r>
          </w:p>
        </w:tc>
        <w:tc>
          <w:tcPr>
            <w:tcW w:w="1276" w:type="dxa"/>
          </w:tcPr>
          <w:p w14:paraId="772A9A09" w14:textId="45D87157" w:rsidR="00635644" w:rsidRPr="007044B5" w:rsidRDefault="00635644" w:rsidP="0052051F">
            <w:pPr>
              <w:rPr>
                <w:sz w:val="18"/>
                <w:szCs w:val="18"/>
                <w:lang w:val="nl-BE"/>
              </w:rPr>
            </w:pPr>
            <w:r w:rsidRPr="007044B5">
              <w:rPr>
                <w:sz w:val="18"/>
                <w:szCs w:val="18"/>
              </w:rPr>
              <w:t>201 126</w:t>
            </w:r>
          </w:p>
        </w:tc>
        <w:tc>
          <w:tcPr>
            <w:tcW w:w="1417" w:type="dxa"/>
          </w:tcPr>
          <w:p w14:paraId="38644BEC" w14:textId="77777777" w:rsidR="00635644" w:rsidRPr="007044B5" w:rsidRDefault="00635644" w:rsidP="0052051F">
            <w:pPr>
              <w:rPr>
                <w:sz w:val="18"/>
                <w:szCs w:val="18"/>
                <w:lang w:val="nl-BE"/>
              </w:rPr>
            </w:pPr>
            <w:r w:rsidRPr="007044B5">
              <w:rPr>
                <w:sz w:val="18"/>
                <w:szCs w:val="18"/>
              </w:rPr>
              <w:t>47 321 032</w:t>
            </w:r>
          </w:p>
        </w:tc>
      </w:tr>
      <w:tr w:rsidR="00635644" w:rsidRPr="007044B5" w14:paraId="48678306" w14:textId="77777777" w:rsidTr="00635644">
        <w:trPr>
          <w:cnfStyle w:val="000000100000" w:firstRow="0" w:lastRow="0" w:firstColumn="0" w:lastColumn="0" w:oddVBand="0" w:evenVBand="0" w:oddHBand="1" w:evenHBand="0" w:firstRowFirstColumn="0" w:firstRowLastColumn="0" w:lastRowFirstColumn="0" w:lastRowLastColumn="0"/>
          <w:trHeight w:val="340"/>
        </w:trPr>
        <w:tc>
          <w:tcPr>
            <w:tcW w:w="709" w:type="dxa"/>
          </w:tcPr>
          <w:p w14:paraId="6A3C7F17" w14:textId="77777777" w:rsidR="00635644" w:rsidRPr="007044B5" w:rsidRDefault="00635644" w:rsidP="0052051F">
            <w:pPr>
              <w:rPr>
                <w:sz w:val="18"/>
                <w:szCs w:val="18"/>
                <w:lang w:val="nl-BE"/>
              </w:rPr>
            </w:pPr>
            <w:r w:rsidRPr="007044B5">
              <w:rPr>
                <w:sz w:val="18"/>
                <w:szCs w:val="18"/>
                <w:lang w:val="nl-BE"/>
              </w:rPr>
              <w:t>A10</w:t>
            </w:r>
          </w:p>
        </w:tc>
        <w:tc>
          <w:tcPr>
            <w:tcW w:w="1843" w:type="dxa"/>
          </w:tcPr>
          <w:p w14:paraId="2DE48812" w14:textId="2CA23B5B" w:rsidR="00635644" w:rsidRPr="007044B5" w:rsidRDefault="00635644" w:rsidP="0052051F">
            <w:pPr>
              <w:rPr>
                <w:sz w:val="18"/>
                <w:szCs w:val="18"/>
                <w:lang w:val="nl-BE"/>
              </w:rPr>
            </w:pPr>
            <w:r w:rsidRPr="007044B5">
              <w:rPr>
                <w:rFonts w:cs="Calibri"/>
                <w:color w:val="000000"/>
                <w:sz w:val="18"/>
                <w:szCs w:val="18"/>
              </w:rPr>
              <w:t>Hypoglycémiant</w:t>
            </w:r>
          </w:p>
        </w:tc>
        <w:tc>
          <w:tcPr>
            <w:tcW w:w="2410" w:type="dxa"/>
          </w:tcPr>
          <w:p w14:paraId="3344F7E7" w14:textId="77777777" w:rsidR="00635644" w:rsidRPr="007044B5" w:rsidRDefault="00635644" w:rsidP="0052051F">
            <w:pPr>
              <w:rPr>
                <w:sz w:val="18"/>
                <w:szCs w:val="18"/>
                <w:lang w:val="nl-BE"/>
              </w:rPr>
            </w:pPr>
            <w:proofErr w:type="spellStart"/>
            <w:r w:rsidRPr="007044B5">
              <w:rPr>
                <w:sz w:val="18"/>
                <w:szCs w:val="18"/>
                <w:lang w:val="nl-BE"/>
              </w:rPr>
              <w:t>Diabète</w:t>
            </w:r>
            <w:proofErr w:type="spellEnd"/>
          </w:p>
        </w:tc>
        <w:tc>
          <w:tcPr>
            <w:tcW w:w="1984" w:type="dxa"/>
          </w:tcPr>
          <w:p w14:paraId="6BD75B22" w14:textId="73245B97" w:rsidR="00635644" w:rsidRPr="007044B5" w:rsidRDefault="00635644" w:rsidP="0052051F">
            <w:pPr>
              <w:rPr>
                <w:sz w:val="18"/>
                <w:szCs w:val="18"/>
              </w:rPr>
            </w:pPr>
            <w:r w:rsidRPr="007044B5">
              <w:rPr>
                <w:rFonts w:cs="Calibri"/>
                <w:color w:val="000000"/>
                <w:sz w:val="18"/>
                <w:szCs w:val="18"/>
              </w:rPr>
              <w:t>Molécule témoin</w:t>
            </w:r>
          </w:p>
        </w:tc>
        <w:tc>
          <w:tcPr>
            <w:tcW w:w="1276" w:type="dxa"/>
          </w:tcPr>
          <w:p w14:paraId="77E718D4" w14:textId="3D1F10E1" w:rsidR="00635644" w:rsidRPr="007044B5" w:rsidRDefault="00635644" w:rsidP="0052051F">
            <w:pPr>
              <w:rPr>
                <w:sz w:val="18"/>
                <w:szCs w:val="18"/>
                <w:lang w:val="nl-BE"/>
              </w:rPr>
            </w:pPr>
            <w:r w:rsidRPr="007044B5">
              <w:rPr>
                <w:sz w:val="18"/>
                <w:szCs w:val="18"/>
              </w:rPr>
              <w:t>99 322</w:t>
            </w:r>
          </w:p>
        </w:tc>
        <w:tc>
          <w:tcPr>
            <w:tcW w:w="1417" w:type="dxa"/>
          </w:tcPr>
          <w:p w14:paraId="77B07AE4" w14:textId="77777777" w:rsidR="00635644" w:rsidRPr="007044B5" w:rsidRDefault="00635644" w:rsidP="0052051F">
            <w:pPr>
              <w:rPr>
                <w:sz w:val="18"/>
                <w:szCs w:val="18"/>
                <w:lang w:val="nl-BE"/>
              </w:rPr>
            </w:pPr>
            <w:r w:rsidRPr="007044B5">
              <w:rPr>
                <w:sz w:val="18"/>
                <w:szCs w:val="18"/>
              </w:rPr>
              <w:t>40 888 658</w:t>
            </w:r>
          </w:p>
        </w:tc>
      </w:tr>
      <w:tr w:rsidR="00635644" w:rsidRPr="007044B5" w14:paraId="55D8570D" w14:textId="77777777" w:rsidTr="00635644">
        <w:trPr>
          <w:trHeight w:val="340"/>
        </w:trPr>
        <w:tc>
          <w:tcPr>
            <w:tcW w:w="709" w:type="dxa"/>
          </w:tcPr>
          <w:p w14:paraId="461A634F" w14:textId="77777777" w:rsidR="00635644" w:rsidRPr="007044B5" w:rsidRDefault="00635644" w:rsidP="0052051F">
            <w:pPr>
              <w:rPr>
                <w:sz w:val="18"/>
                <w:szCs w:val="18"/>
                <w:lang w:val="nl-BE"/>
              </w:rPr>
            </w:pPr>
            <w:r w:rsidRPr="007044B5">
              <w:rPr>
                <w:sz w:val="18"/>
                <w:szCs w:val="18"/>
                <w:lang w:val="nl-BE"/>
              </w:rPr>
              <w:t>N06A</w:t>
            </w:r>
          </w:p>
        </w:tc>
        <w:tc>
          <w:tcPr>
            <w:tcW w:w="1843" w:type="dxa"/>
          </w:tcPr>
          <w:p w14:paraId="7D609746" w14:textId="331DE22A" w:rsidR="00635644" w:rsidRPr="007044B5" w:rsidRDefault="00635644" w:rsidP="0052051F">
            <w:pPr>
              <w:rPr>
                <w:sz w:val="18"/>
                <w:szCs w:val="18"/>
                <w:lang w:val="nl-BE"/>
              </w:rPr>
            </w:pPr>
            <w:r w:rsidRPr="007044B5">
              <w:rPr>
                <w:rFonts w:cs="Calibri"/>
                <w:color w:val="000000"/>
                <w:sz w:val="18"/>
                <w:szCs w:val="18"/>
              </w:rPr>
              <w:t>Antidépresseur</w:t>
            </w:r>
          </w:p>
        </w:tc>
        <w:tc>
          <w:tcPr>
            <w:tcW w:w="2410" w:type="dxa"/>
          </w:tcPr>
          <w:p w14:paraId="7D9866DD" w14:textId="77777777" w:rsidR="00635644" w:rsidRPr="007044B5" w:rsidRDefault="00635644" w:rsidP="0052051F">
            <w:pPr>
              <w:rPr>
                <w:sz w:val="18"/>
                <w:szCs w:val="18"/>
                <w:lang w:val="nl-BE"/>
              </w:rPr>
            </w:pPr>
            <w:proofErr w:type="spellStart"/>
            <w:r w:rsidRPr="007044B5">
              <w:rPr>
                <w:sz w:val="18"/>
                <w:szCs w:val="18"/>
                <w:lang w:val="nl-BE"/>
              </w:rPr>
              <w:t>Dépression</w:t>
            </w:r>
            <w:proofErr w:type="spellEnd"/>
          </w:p>
        </w:tc>
        <w:tc>
          <w:tcPr>
            <w:tcW w:w="1984" w:type="dxa"/>
          </w:tcPr>
          <w:p w14:paraId="2ABEDB7B" w14:textId="5CDA6A9F" w:rsidR="00635644" w:rsidRPr="007044B5" w:rsidRDefault="00635644" w:rsidP="0052051F">
            <w:pPr>
              <w:rPr>
                <w:sz w:val="18"/>
                <w:szCs w:val="18"/>
              </w:rPr>
            </w:pPr>
            <w:r w:rsidRPr="007044B5">
              <w:rPr>
                <w:rFonts w:cs="Calibri"/>
                <w:color w:val="000000"/>
                <w:sz w:val="18"/>
                <w:szCs w:val="18"/>
              </w:rPr>
              <w:t>Consommation problématique</w:t>
            </w:r>
          </w:p>
        </w:tc>
        <w:tc>
          <w:tcPr>
            <w:tcW w:w="1276" w:type="dxa"/>
          </w:tcPr>
          <w:p w14:paraId="5AAF3806" w14:textId="3FD0078F" w:rsidR="00635644" w:rsidRPr="007044B5" w:rsidRDefault="00635644" w:rsidP="0052051F">
            <w:pPr>
              <w:rPr>
                <w:sz w:val="18"/>
                <w:szCs w:val="18"/>
                <w:lang w:val="nl-BE"/>
              </w:rPr>
            </w:pPr>
            <w:r w:rsidRPr="007044B5">
              <w:rPr>
                <w:sz w:val="18"/>
                <w:szCs w:val="18"/>
              </w:rPr>
              <w:t>100 349</w:t>
            </w:r>
          </w:p>
        </w:tc>
        <w:tc>
          <w:tcPr>
            <w:tcW w:w="1417" w:type="dxa"/>
          </w:tcPr>
          <w:p w14:paraId="0F05353E" w14:textId="77777777" w:rsidR="00635644" w:rsidRPr="007044B5" w:rsidRDefault="00635644" w:rsidP="0052051F">
            <w:pPr>
              <w:rPr>
                <w:sz w:val="18"/>
                <w:szCs w:val="18"/>
                <w:lang w:val="nl-BE"/>
              </w:rPr>
            </w:pPr>
            <w:r w:rsidRPr="007044B5">
              <w:rPr>
                <w:sz w:val="18"/>
                <w:szCs w:val="18"/>
              </w:rPr>
              <w:t>26 252 373</w:t>
            </w:r>
          </w:p>
        </w:tc>
      </w:tr>
      <w:tr w:rsidR="00635644" w:rsidRPr="007044B5" w14:paraId="512620D3" w14:textId="77777777" w:rsidTr="00635644">
        <w:trPr>
          <w:cnfStyle w:val="000000100000" w:firstRow="0" w:lastRow="0" w:firstColumn="0" w:lastColumn="0" w:oddVBand="0" w:evenVBand="0" w:oddHBand="1" w:evenHBand="0" w:firstRowFirstColumn="0" w:firstRowLastColumn="0" w:lastRowFirstColumn="0" w:lastRowLastColumn="0"/>
          <w:trHeight w:val="340"/>
        </w:trPr>
        <w:tc>
          <w:tcPr>
            <w:tcW w:w="709" w:type="dxa"/>
          </w:tcPr>
          <w:p w14:paraId="67906B28" w14:textId="77777777" w:rsidR="00635644" w:rsidRPr="007044B5" w:rsidRDefault="00635644" w:rsidP="0052051F">
            <w:pPr>
              <w:rPr>
                <w:sz w:val="18"/>
                <w:szCs w:val="18"/>
                <w:lang w:val="nl-BE"/>
              </w:rPr>
            </w:pPr>
            <w:r w:rsidRPr="007044B5">
              <w:rPr>
                <w:sz w:val="18"/>
                <w:szCs w:val="18"/>
                <w:lang w:val="nl-BE"/>
              </w:rPr>
              <w:t>M01A</w:t>
            </w:r>
          </w:p>
        </w:tc>
        <w:tc>
          <w:tcPr>
            <w:tcW w:w="1843" w:type="dxa"/>
          </w:tcPr>
          <w:p w14:paraId="2A6BCAC7" w14:textId="197A2C41" w:rsidR="00635644" w:rsidRPr="007044B5" w:rsidRDefault="00635644" w:rsidP="0052051F">
            <w:pPr>
              <w:rPr>
                <w:sz w:val="18"/>
                <w:szCs w:val="18"/>
                <w:lang w:val="nl-BE"/>
              </w:rPr>
            </w:pPr>
            <w:r w:rsidRPr="007044B5">
              <w:rPr>
                <w:rFonts w:cs="Calibri"/>
                <w:color w:val="000000"/>
                <w:sz w:val="18"/>
                <w:szCs w:val="18"/>
              </w:rPr>
              <w:t>Anti-inflammatoire non stéroïdien</w:t>
            </w:r>
          </w:p>
        </w:tc>
        <w:tc>
          <w:tcPr>
            <w:tcW w:w="2410" w:type="dxa"/>
          </w:tcPr>
          <w:p w14:paraId="044F07B1" w14:textId="77777777" w:rsidR="00635644" w:rsidRPr="007044B5" w:rsidRDefault="00635644" w:rsidP="0052051F">
            <w:pPr>
              <w:rPr>
                <w:sz w:val="18"/>
                <w:szCs w:val="18"/>
                <w:lang w:val="nl-BE"/>
              </w:rPr>
            </w:pPr>
            <w:proofErr w:type="spellStart"/>
            <w:r w:rsidRPr="007044B5">
              <w:rPr>
                <w:sz w:val="18"/>
                <w:szCs w:val="18"/>
                <w:lang w:val="nl-BE"/>
              </w:rPr>
              <w:t>Inflammation</w:t>
            </w:r>
            <w:proofErr w:type="spellEnd"/>
            <w:r w:rsidRPr="007044B5">
              <w:rPr>
                <w:sz w:val="18"/>
                <w:szCs w:val="18"/>
                <w:lang w:val="nl-BE"/>
              </w:rPr>
              <w:t xml:space="preserve">, </w:t>
            </w:r>
            <w:proofErr w:type="spellStart"/>
            <w:r w:rsidRPr="007044B5">
              <w:rPr>
                <w:sz w:val="18"/>
                <w:szCs w:val="18"/>
                <w:lang w:val="nl-BE"/>
              </w:rPr>
              <w:t>rhumatisme</w:t>
            </w:r>
            <w:proofErr w:type="spellEnd"/>
          </w:p>
        </w:tc>
        <w:tc>
          <w:tcPr>
            <w:tcW w:w="1984" w:type="dxa"/>
          </w:tcPr>
          <w:p w14:paraId="75E52ACA" w14:textId="62175E6C" w:rsidR="00635644" w:rsidRPr="007044B5" w:rsidRDefault="00635644" w:rsidP="0052051F">
            <w:pPr>
              <w:rPr>
                <w:sz w:val="18"/>
                <w:szCs w:val="18"/>
              </w:rPr>
            </w:pPr>
            <w:r w:rsidRPr="007044B5">
              <w:rPr>
                <w:rFonts w:cs="Calibri"/>
                <w:color w:val="000000"/>
                <w:sz w:val="18"/>
                <w:szCs w:val="18"/>
              </w:rPr>
              <w:t>Impact négatif sur les reins</w:t>
            </w:r>
          </w:p>
        </w:tc>
        <w:tc>
          <w:tcPr>
            <w:tcW w:w="1276" w:type="dxa"/>
          </w:tcPr>
          <w:p w14:paraId="66E6CB25" w14:textId="76F6D20D" w:rsidR="00635644" w:rsidRPr="007044B5" w:rsidRDefault="00635644" w:rsidP="0052051F">
            <w:pPr>
              <w:rPr>
                <w:sz w:val="18"/>
                <w:szCs w:val="18"/>
                <w:lang w:val="nl-BE"/>
              </w:rPr>
            </w:pPr>
            <w:r w:rsidRPr="007044B5">
              <w:rPr>
                <w:sz w:val="18"/>
                <w:szCs w:val="18"/>
              </w:rPr>
              <w:t>117 954</w:t>
            </w:r>
          </w:p>
        </w:tc>
        <w:tc>
          <w:tcPr>
            <w:tcW w:w="1417" w:type="dxa"/>
          </w:tcPr>
          <w:p w14:paraId="3F0C2CF9" w14:textId="77777777" w:rsidR="00635644" w:rsidRPr="007044B5" w:rsidRDefault="00635644" w:rsidP="0052051F">
            <w:pPr>
              <w:rPr>
                <w:sz w:val="18"/>
                <w:szCs w:val="18"/>
                <w:lang w:val="nl-BE"/>
              </w:rPr>
            </w:pPr>
            <w:r w:rsidRPr="007044B5">
              <w:rPr>
                <w:sz w:val="18"/>
                <w:szCs w:val="18"/>
              </w:rPr>
              <w:t>7 930 403</w:t>
            </w:r>
          </w:p>
        </w:tc>
      </w:tr>
      <w:tr w:rsidR="00635644" w:rsidRPr="007044B5" w14:paraId="743BBA64" w14:textId="77777777" w:rsidTr="00635644">
        <w:trPr>
          <w:trHeight w:val="340"/>
        </w:trPr>
        <w:tc>
          <w:tcPr>
            <w:tcW w:w="709" w:type="dxa"/>
          </w:tcPr>
          <w:p w14:paraId="3EC62CB9" w14:textId="77777777" w:rsidR="00635644" w:rsidRPr="007044B5" w:rsidRDefault="00635644" w:rsidP="0052051F">
            <w:pPr>
              <w:rPr>
                <w:sz w:val="18"/>
                <w:szCs w:val="18"/>
                <w:lang w:val="nl-BE"/>
              </w:rPr>
            </w:pPr>
            <w:r w:rsidRPr="007044B5">
              <w:rPr>
                <w:sz w:val="18"/>
                <w:szCs w:val="18"/>
                <w:lang w:val="nl-BE"/>
              </w:rPr>
              <w:t>N02A</w:t>
            </w:r>
          </w:p>
        </w:tc>
        <w:tc>
          <w:tcPr>
            <w:tcW w:w="1843" w:type="dxa"/>
          </w:tcPr>
          <w:p w14:paraId="53AE8887" w14:textId="52C12AD9" w:rsidR="00635644" w:rsidRPr="007044B5" w:rsidRDefault="00635644" w:rsidP="0052051F">
            <w:pPr>
              <w:rPr>
                <w:sz w:val="18"/>
                <w:szCs w:val="18"/>
                <w:lang w:val="nl-BE"/>
              </w:rPr>
            </w:pPr>
            <w:r w:rsidRPr="007044B5">
              <w:rPr>
                <w:rFonts w:cs="Calibri"/>
                <w:color w:val="000000"/>
                <w:sz w:val="18"/>
                <w:szCs w:val="18"/>
              </w:rPr>
              <w:t>Antidouleur opiacé</w:t>
            </w:r>
          </w:p>
        </w:tc>
        <w:tc>
          <w:tcPr>
            <w:tcW w:w="2410" w:type="dxa"/>
          </w:tcPr>
          <w:p w14:paraId="69B87C48" w14:textId="77777777" w:rsidR="00635644" w:rsidRPr="007044B5" w:rsidRDefault="00635644" w:rsidP="0052051F">
            <w:pPr>
              <w:rPr>
                <w:sz w:val="18"/>
                <w:szCs w:val="18"/>
                <w:lang w:val="nl-BE"/>
              </w:rPr>
            </w:pPr>
            <w:proofErr w:type="spellStart"/>
            <w:r w:rsidRPr="007044B5">
              <w:rPr>
                <w:sz w:val="18"/>
                <w:szCs w:val="18"/>
                <w:lang w:val="nl-BE"/>
              </w:rPr>
              <w:t>Douleur</w:t>
            </w:r>
            <w:proofErr w:type="spellEnd"/>
          </w:p>
        </w:tc>
        <w:tc>
          <w:tcPr>
            <w:tcW w:w="1984" w:type="dxa"/>
          </w:tcPr>
          <w:p w14:paraId="7C12225C" w14:textId="358E403C" w:rsidR="00635644" w:rsidRPr="007044B5" w:rsidRDefault="00635644" w:rsidP="0052051F">
            <w:pPr>
              <w:rPr>
                <w:sz w:val="18"/>
                <w:szCs w:val="18"/>
              </w:rPr>
            </w:pPr>
            <w:r w:rsidRPr="007044B5">
              <w:rPr>
                <w:rFonts w:cs="Calibri"/>
                <w:color w:val="000000"/>
                <w:sz w:val="18"/>
                <w:szCs w:val="18"/>
              </w:rPr>
              <w:t>Douleur chronique insuffisamment ou mal traitée</w:t>
            </w:r>
          </w:p>
        </w:tc>
        <w:tc>
          <w:tcPr>
            <w:tcW w:w="1276" w:type="dxa"/>
          </w:tcPr>
          <w:p w14:paraId="6584BCCE" w14:textId="73A78123" w:rsidR="00635644" w:rsidRPr="007044B5" w:rsidRDefault="00635644" w:rsidP="0052051F">
            <w:pPr>
              <w:rPr>
                <w:sz w:val="18"/>
                <w:szCs w:val="18"/>
                <w:lang w:val="nl-BE"/>
              </w:rPr>
            </w:pPr>
            <w:r w:rsidRPr="007044B5">
              <w:rPr>
                <w:sz w:val="18"/>
                <w:szCs w:val="18"/>
              </w:rPr>
              <w:t>111 153</w:t>
            </w:r>
          </w:p>
        </w:tc>
        <w:tc>
          <w:tcPr>
            <w:tcW w:w="1417" w:type="dxa"/>
          </w:tcPr>
          <w:p w14:paraId="304C2532" w14:textId="77777777" w:rsidR="00635644" w:rsidRPr="007044B5" w:rsidRDefault="00635644" w:rsidP="0052051F">
            <w:pPr>
              <w:rPr>
                <w:sz w:val="18"/>
                <w:szCs w:val="18"/>
                <w:lang w:val="nl-BE"/>
              </w:rPr>
            </w:pPr>
            <w:r w:rsidRPr="007044B5">
              <w:rPr>
                <w:sz w:val="18"/>
                <w:szCs w:val="18"/>
              </w:rPr>
              <w:t>6 431 125</w:t>
            </w:r>
          </w:p>
        </w:tc>
      </w:tr>
      <w:tr w:rsidR="00635644" w:rsidRPr="007044B5" w14:paraId="1851F299" w14:textId="77777777" w:rsidTr="00635644">
        <w:trPr>
          <w:cnfStyle w:val="000000100000" w:firstRow="0" w:lastRow="0" w:firstColumn="0" w:lastColumn="0" w:oddVBand="0" w:evenVBand="0" w:oddHBand="1" w:evenHBand="0" w:firstRowFirstColumn="0" w:firstRowLastColumn="0" w:lastRowFirstColumn="0" w:lastRowLastColumn="0"/>
          <w:trHeight w:val="340"/>
        </w:trPr>
        <w:tc>
          <w:tcPr>
            <w:tcW w:w="709" w:type="dxa"/>
          </w:tcPr>
          <w:p w14:paraId="326A7641" w14:textId="77777777" w:rsidR="00635644" w:rsidRPr="007044B5" w:rsidRDefault="00635644" w:rsidP="0052051F">
            <w:pPr>
              <w:rPr>
                <w:sz w:val="18"/>
                <w:szCs w:val="18"/>
                <w:lang w:val="nl-BE"/>
              </w:rPr>
            </w:pPr>
            <w:r w:rsidRPr="007044B5">
              <w:rPr>
                <w:sz w:val="18"/>
                <w:szCs w:val="18"/>
                <w:lang w:val="nl-BE"/>
              </w:rPr>
              <w:t>J01</w:t>
            </w:r>
          </w:p>
        </w:tc>
        <w:tc>
          <w:tcPr>
            <w:tcW w:w="1843" w:type="dxa"/>
          </w:tcPr>
          <w:p w14:paraId="3947730E" w14:textId="240DA377" w:rsidR="00635644" w:rsidRPr="007044B5" w:rsidRDefault="00635644" w:rsidP="0052051F">
            <w:pPr>
              <w:rPr>
                <w:sz w:val="18"/>
                <w:szCs w:val="18"/>
                <w:lang w:val="nl-BE"/>
              </w:rPr>
            </w:pPr>
            <w:r w:rsidRPr="007044B5">
              <w:rPr>
                <w:rFonts w:cs="Calibri"/>
                <w:color w:val="000000"/>
                <w:sz w:val="18"/>
                <w:szCs w:val="18"/>
              </w:rPr>
              <w:t>Antibiotique</w:t>
            </w:r>
          </w:p>
        </w:tc>
        <w:tc>
          <w:tcPr>
            <w:tcW w:w="2410" w:type="dxa"/>
          </w:tcPr>
          <w:p w14:paraId="0515B8F4" w14:textId="77777777" w:rsidR="00635644" w:rsidRPr="007044B5" w:rsidRDefault="00635644" w:rsidP="0052051F">
            <w:pPr>
              <w:rPr>
                <w:sz w:val="18"/>
                <w:szCs w:val="18"/>
                <w:lang w:val="nl-BE"/>
              </w:rPr>
            </w:pPr>
            <w:proofErr w:type="spellStart"/>
            <w:r w:rsidRPr="007044B5">
              <w:rPr>
                <w:sz w:val="18"/>
                <w:szCs w:val="18"/>
                <w:lang w:val="nl-BE"/>
              </w:rPr>
              <w:t>Infection</w:t>
            </w:r>
            <w:proofErr w:type="spellEnd"/>
            <w:r w:rsidRPr="007044B5">
              <w:rPr>
                <w:sz w:val="18"/>
                <w:szCs w:val="18"/>
                <w:lang w:val="nl-BE"/>
              </w:rPr>
              <w:t xml:space="preserve"> </w:t>
            </w:r>
            <w:proofErr w:type="spellStart"/>
            <w:r w:rsidRPr="007044B5">
              <w:rPr>
                <w:sz w:val="18"/>
                <w:szCs w:val="18"/>
                <w:lang w:val="nl-BE"/>
              </w:rPr>
              <w:t>bactérienne</w:t>
            </w:r>
            <w:proofErr w:type="spellEnd"/>
          </w:p>
        </w:tc>
        <w:tc>
          <w:tcPr>
            <w:tcW w:w="1984" w:type="dxa"/>
          </w:tcPr>
          <w:p w14:paraId="15A869EE" w14:textId="2D42FFF6" w:rsidR="00635644" w:rsidRPr="007044B5" w:rsidRDefault="00635644" w:rsidP="0052051F">
            <w:pPr>
              <w:rPr>
                <w:sz w:val="18"/>
                <w:szCs w:val="18"/>
              </w:rPr>
            </w:pPr>
            <w:r w:rsidRPr="007044B5">
              <w:rPr>
                <w:rFonts w:cs="Calibri"/>
                <w:color w:val="000000"/>
                <w:sz w:val="18"/>
                <w:szCs w:val="18"/>
              </w:rPr>
              <w:t>Responsables de la résistance bactérienne</w:t>
            </w:r>
          </w:p>
        </w:tc>
        <w:tc>
          <w:tcPr>
            <w:tcW w:w="1276" w:type="dxa"/>
          </w:tcPr>
          <w:p w14:paraId="2D652C74" w14:textId="5EBD0CFF" w:rsidR="00635644" w:rsidRPr="007044B5" w:rsidRDefault="00635644" w:rsidP="0052051F">
            <w:pPr>
              <w:rPr>
                <w:sz w:val="18"/>
                <w:szCs w:val="18"/>
                <w:lang w:val="nl-BE"/>
              </w:rPr>
            </w:pPr>
            <w:r w:rsidRPr="007044B5">
              <w:rPr>
                <w:sz w:val="18"/>
                <w:szCs w:val="18"/>
              </w:rPr>
              <w:t>182 773</w:t>
            </w:r>
          </w:p>
        </w:tc>
        <w:tc>
          <w:tcPr>
            <w:tcW w:w="1417" w:type="dxa"/>
          </w:tcPr>
          <w:p w14:paraId="1D672061" w14:textId="77777777" w:rsidR="00635644" w:rsidRPr="007044B5" w:rsidRDefault="00635644" w:rsidP="0052051F">
            <w:pPr>
              <w:rPr>
                <w:sz w:val="18"/>
                <w:szCs w:val="18"/>
                <w:lang w:val="nl-BE"/>
              </w:rPr>
            </w:pPr>
            <w:r w:rsidRPr="007044B5">
              <w:rPr>
                <w:sz w:val="18"/>
                <w:szCs w:val="18"/>
              </w:rPr>
              <w:t>4 684 044</w:t>
            </w:r>
          </w:p>
        </w:tc>
      </w:tr>
      <w:tr w:rsidR="00635644" w:rsidRPr="007044B5" w14:paraId="71E47337" w14:textId="77777777" w:rsidTr="00635644">
        <w:trPr>
          <w:trHeight w:val="340"/>
        </w:trPr>
        <w:tc>
          <w:tcPr>
            <w:tcW w:w="709" w:type="dxa"/>
          </w:tcPr>
          <w:p w14:paraId="1AD48464" w14:textId="77777777" w:rsidR="00635644" w:rsidRPr="007044B5" w:rsidRDefault="00635644" w:rsidP="0052051F">
            <w:pPr>
              <w:rPr>
                <w:sz w:val="18"/>
                <w:szCs w:val="18"/>
                <w:lang w:val="nl-BE"/>
              </w:rPr>
            </w:pPr>
            <w:r w:rsidRPr="007044B5">
              <w:rPr>
                <w:sz w:val="18"/>
                <w:szCs w:val="18"/>
                <w:lang w:val="nl-BE"/>
              </w:rPr>
              <w:t>N05A</w:t>
            </w:r>
          </w:p>
        </w:tc>
        <w:tc>
          <w:tcPr>
            <w:tcW w:w="1843" w:type="dxa"/>
          </w:tcPr>
          <w:p w14:paraId="65E7BBA1" w14:textId="7F15DF66" w:rsidR="00635644" w:rsidRPr="007044B5" w:rsidRDefault="00635644" w:rsidP="0052051F">
            <w:pPr>
              <w:rPr>
                <w:sz w:val="18"/>
                <w:szCs w:val="18"/>
                <w:lang w:val="nl-BE"/>
              </w:rPr>
            </w:pPr>
            <w:r w:rsidRPr="007044B5">
              <w:rPr>
                <w:rFonts w:cs="Calibri"/>
                <w:color w:val="000000"/>
                <w:sz w:val="18"/>
                <w:szCs w:val="18"/>
              </w:rPr>
              <w:t>Antipsychotique</w:t>
            </w:r>
          </w:p>
        </w:tc>
        <w:tc>
          <w:tcPr>
            <w:tcW w:w="2410" w:type="dxa"/>
          </w:tcPr>
          <w:p w14:paraId="0615FE63" w14:textId="77777777" w:rsidR="00635644" w:rsidRPr="007044B5" w:rsidRDefault="00635644" w:rsidP="0052051F">
            <w:pPr>
              <w:rPr>
                <w:sz w:val="18"/>
                <w:szCs w:val="18"/>
              </w:rPr>
            </w:pPr>
            <w:r w:rsidRPr="007044B5">
              <w:rPr>
                <w:sz w:val="18"/>
                <w:szCs w:val="18"/>
              </w:rPr>
              <w:t>Schizophrénie et autres troubles psychotiques</w:t>
            </w:r>
          </w:p>
        </w:tc>
        <w:tc>
          <w:tcPr>
            <w:tcW w:w="1984" w:type="dxa"/>
          </w:tcPr>
          <w:p w14:paraId="5AD3BA61" w14:textId="423945DB" w:rsidR="00635644" w:rsidRPr="007044B5" w:rsidRDefault="00635644" w:rsidP="0052051F">
            <w:pPr>
              <w:rPr>
                <w:sz w:val="18"/>
                <w:szCs w:val="18"/>
              </w:rPr>
            </w:pPr>
            <w:r w:rsidRPr="007044B5">
              <w:rPr>
                <w:rFonts w:cs="Calibri"/>
                <w:color w:val="000000"/>
                <w:sz w:val="18"/>
                <w:szCs w:val="18"/>
              </w:rPr>
              <w:t>Consommation problématique</w:t>
            </w:r>
          </w:p>
        </w:tc>
        <w:tc>
          <w:tcPr>
            <w:tcW w:w="1276" w:type="dxa"/>
          </w:tcPr>
          <w:p w14:paraId="14CCC8DA" w14:textId="78F49A63" w:rsidR="00635644" w:rsidRPr="007044B5" w:rsidRDefault="00635644" w:rsidP="0052051F">
            <w:pPr>
              <w:rPr>
                <w:sz w:val="18"/>
                <w:szCs w:val="18"/>
                <w:lang w:val="nl-BE"/>
              </w:rPr>
            </w:pPr>
            <w:r w:rsidRPr="007044B5">
              <w:rPr>
                <w:sz w:val="18"/>
                <w:szCs w:val="18"/>
              </w:rPr>
              <w:t>35 355</w:t>
            </w:r>
          </w:p>
        </w:tc>
        <w:tc>
          <w:tcPr>
            <w:tcW w:w="1417" w:type="dxa"/>
          </w:tcPr>
          <w:p w14:paraId="0F41FF1B" w14:textId="77777777" w:rsidR="00635644" w:rsidRPr="007044B5" w:rsidRDefault="00635644" w:rsidP="0052051F">
            <w:pPr>
              <w:rPr>
                <w:sz w:val="18"/>
                <w:szCs w:val="18"/>
                <w:lang w:val="nl-BE"/>
              </w:rPr>
            </w:pPr>
            <w:r w:rsidRPr="007044B5">
              <w:rPr>
                <w:sz w:val="18"/>
                <w:szCs w:val="18"/>
              </w:rPr>
              <w:t>2 648 326</w:t>
            </w:r>
          </w:p>
        </w:tc>
      </w:tr>
      <w:tr w:rsidR="00635644" w:rsidRPr="007044B5" w14:paraId="1BC76811" w14:textId="77777777" w:rsidTr="00635644">
        <w:trPr>
          <w:cnfStyle w:val="010000000000" w:firstRow="0" w:lastRow="1" w:firstColumn="0" w:lastColumn="0" w:oddVBand="0" w:evenVBand="0" w:oddHBand="0" w:evenHBand="0" w:firstRowFirstColumn="0" w:firstRowLastColumn="0" w:lastRowFirstColumn="0" w:lastRowLastColumn="0"/>
        </w:trPr>
        <w:tc>
          <w:tcPr>
            <w:tcW w:w="709" w:type="dxa"/>
          </w:tcPr>
          <w:p w14:paraId="6424FEF6" w14:textId="77777777" w:rsidR="00635644" w:rsidRPr="007044B5" w:rsidRDefault="00635644" w:rsidP="001D67D1">
            <w:pPr>
              <w:jc w:val="both"/>
              <w:rPr>
                <w:sz w:val="18"/>
                <w:szCs w:val="18"/>
              </w:rPr>
            </w:pPr>
          </w:p>
        </w:tc>
        <w:tc>
          <w:tcPr>
            <w:tcW w:w="1843" w:type="dxa"/>
          </w:tcPr>
          <w:p w14:paraId="7A56187A" w14:textId="77777777" w:rsidR="00635644" w:rsidRPr="007044B5" w:rsidRDefault="00635644" w:rsidP="001D67D1">
            <w:pPr>
              <w:jc w:val="both"/>
              <w:rPr>
                <w:sz w:val="18"/>
                <w:szCs w:val="18"/>
              </w:rPr>
            </w:pPr>
          </w:p>
        </w:tc>
        <w:tc>
          <w:tcPr>
            <w:tcW w:w="2410" w:type="dxa"/>
          </w:tcPr>
          <w:p w14:paraId="53F5FCDA" w14:textId="77777777" w:rsidR="00635644" w:rsidRPr="007044B5" w:rsidRDefault="00635644" w:rsidP="001D67D1">
            <w:pPr>
              <w:jc w:val="both"/>
              <w:rPr>
                <w:sz w:val="18"/>
                <w:szCs w:val="18"/>
              </w:rPr>
            </w:pPr>
          </w:p>
        </w:tc>
        <w:tc>
          <w:tcPr>
            <w:tcW w:w="1984" w:type="dxa"/>
          </w:tcPr>
          <w:p w14:paraId="6D60399F" w14:textId="77777777" w:rsidR="00635644" w:rsidRPr="007044B5" w:rsidRDefault="00635644" w:rsidP="001D67D1">
            <w:pPr>
              <w:jc w:val="both"/>
              <w:rPr>
                <w:sz w:val="18"/>
                <w:szCs w:val="18"/>
              </w:rPr>
            </w:pPr>
          </w:p>
        </w:tc>
        <w:tc>
          <w:tcPr>
            <w:tcW w:w="1276" w:type="dxa"/>
          </w:tcPr>
          <w:p w14:paraId="1EF20CD7" w14:textId="07A2032B" w:rsidR="00635644" w:rsidRPr="007044B5" w:rsidRDefault="00635644" w:rsidP="001D67D1">
            <w:pPr>
              <w:jc w:val="both"/>
              <w:rPr>
                <w:sz w:val="18"/>
                <w:szCs w:val="18"/>
              </w:rPr>
            </w:pPr>
          </w:p>
        </w:tc>
        <w:tc>
          <w:tcPr>
            <w:tcW w:w="1417" w:type="dxa"/>
          </w:tcPr>
          <w:p w14:paraId="46E35F2F" w14:textId="77777777" w:rsidR="00635644" w:rsidRPr="007044B5" w:rsidRDefault="00635644" w:rsidP="001D67D1">
            <w:pPr>
              <w:jc w:val="both"/>
              <w:rPr>
                <w:sz w:val="18"/>
                <w:szCs w:val="18"/>
              </w:rPr>
            </w:pPr>
          </w:p>
        </w:tc>
      </w:tr>
    </w:tbl>
    <w:p w14:paraId="4BF00D6C" w14:textId="77777777" w:rsidR="00F72D23" w:rsidRPr="003514DE" w:rsidRDefault="00F72D23" w:rsidP="001D67D1">
      <w:pPr>
        <w:spacing w:after="0"/>
        <w:jc w:val="both"/>
        <w:rPr>
          <w:lang w:val="fr-BE"/>
        </w:rPr>
      </w:pPr>
      <w:r w:rsidRPr="003514DE">
        <w:rPr>
          <w:lang w:val="fr-BE"/>
        </w:rPr>
        <w:t>Source : Solidaris</w:t>
      </w:r>
    </w:p>
    <w:p w14:paraId="715AEE17" w14:textId="77777777" w:rsidR="00F72D23" w:rsidRDefault="00F72D23" w:rsidP="001D67D1">
      <w:pPr>
        <w:spacing w:after="0"/>
        <w:jc w:val="both"/>
        <w:rPr>
          <w:rFonts w:cs="Arial"/>
          <w:szCs w:val="20"/>
          <w:lang w:val="fr-BE"/>
        </w:rPr>
      </w:pPr>
    </w:p>
    <w:p w14:paraId="299877F1" w14:textId="005AEFFC" w:rsidR="00F2250F" w:rsidRPr="00F2250F" w:rsidRDefault="00F2250F" w:rsidP="001D67D1">
      <w:pPr>
        <w:spacing w:after="0"/>
        <w:jc w:val="both"/>
        <w:rPr>
          <w:rFonts w:cs="Arial"/>
          <w:szCs w:val="20"/>
          <w:lang w:val="fr-FR"/>
        </w:rPr>
      </w:pPr>
      <w:r w:rsidRPr="00F2250F">
        <w:rPr>
          <w:rFonts w:cs="Arial"/>
          <w:szCs w:val="20"/>
          <w:lang w:val="fr-FR"/>
        </w:rPr>
        <w:t>Ces 10 molécules représentent respectivement 75%  et 66% des DDD délivrées aux affiliés âgés de 70 ans et plus et ceux de moins de 70 ans. La consommation de certaines molécules diffère fortement selon l’âge de l’affilié </w:t>
      </w:r>
      <w:r w:rsidR="003514DE" w:rsidRPr="00F2250F">
        <w:rPr>
          <w:rFonts w:cs="Arial"/>
          <w:szCs w:val="20"/>
          <w:lang w:val="fr-FR"/>
        </w:rPr>
        <w:t xml:space="preserve">(Tableau </w:t>
      </w:r>
      <w:r w:rsidR="003514DE">
        <w:rPr>
          <w:rFonts w:cs="Arial"/>
          <w:szCs w:val="20"/>
          <w:lang w:val="fr-FR"/>
        </w:rPr>
        <w:t xml:space="preserve">3) </w:t>
      </w:r>
      <w:r w:rsidRPr="00F2250F">
        <w:rPr>
          <w:rFonts w:cs="Arial"/>
          <w:szCs w:val="20"/>
          <w:lang w:val="fr-FR"/>
        </w:rPr>
        <w:t>:</w:t>
      </w:r>
    </w:p>
    <w:p w14:paraId="593E14F1" w14:textId="50B8BECA" w:rsidR="00F2250F" w:rsidRPr="00F2250F" w:rsidRDefault="00537B2B" w:rsidP="001D67D1">
      <w:pPr>
        <w:pStyle w:val="Paragraphedeliste"/>
        <w:numPr>
          <w:ilvl w:val="0"/>
          <w:numId w:val="31"/>
        </w:numPr>
        <w:spacing w:before="120" w:after="120" w:line="240" w:lineRule="auto"/>
        <w:ind w:left="714" w:hanging="357"/>
        <w:contextualSpacing w:val="0"/>
        <w:jc w:val="both"/>
        <w:rPr>
          <w:rFonts w:cs="Arial"/>
          <w:szCs w:val="20"/>
          <w:lang w:val="fr-BE"/>
        </w:rPr>
      </w:pPr>
      <w:r>
        <w:rPr>
          <w:rFonts w:cs="Arial"/>
          <w:szCs w:val="20"/>
          <w:lang w:val="fr-FR"/>
        </w:rPr>
        <w:t>En termes de DDD délivrées, l</w:t>
      </w:r>
      <w:r w:rsidR="00F2250F" w:rsidRPr="00F2250F">
        <w:rPr>
          <w:rFonts w:cs="Arial"/>
          <w:szCs w:val="20"/>
          <w:lang w:val="fr-FR"/>
        </w:rPr>
        <w:t xml:space="preserve">a consommation d’antiagrégants, contre les risques de thrombose, est presque deux fois plus élevée chez les 70 ans et plus que chez les moins de 70 ans (13% contre 7%). La consommation d’antihypertenseurs est également plus importante chez les 70 ans et plus (29% contre 18%). En d’autres termes, </w:t>
      </w:r>
      <w:r>
        <w:rPr>
          <w:rFonts w:cs="Arial"/>
          <w:szCs w:val="20"/>
          <w:lang w:val="fr-FR"/>
        </w:rPr>
        <w:t>près d’</w:t>
      </w:r>
      <w:r w:rsidR="00F2250F" w:rsidRPr="00F2250F">
        <w:rPr>
          <w:rFonts w:cs="Arial"/>
          <w:szCs w:val="20"/>
          <w:lang w:val="fr-FR"/>
        </w:rPr>
        <w:t>une dose sur trois délivrée aux affiliés de 70 ans et plus est un antihypertenseur alors que cela ne représente moins d’une dose sur cinq délivrée au moins de 70 ans. L’augmentation avec l’âge est nettement plus limitée dans le cas des statines (11% versus 9%).</w:t>
      </w:r>
    </w:p>
    <w:p w14:paraId="3DB64AD3" w14:textId="32F56E8E" w:rsidR="00F2250F" w:rsidRPr="00F2250F" w:rsidRDefault="00F2250F" w:rsidP="001D67D1">
      <w:pPr>
        <w:pStyle w:val="Paragraphedeliste"/>
        <w:numPr>
          <w:ilvl w:val="0"/>
          <w:numId w:val="31"/>
        </w:numPr>
        <w:spacing w:before="120" w:after="120" w:line="240" w:lineRule="auto"/>
        <w:ind w:left="714" w:hanging="357"/>
        <w:contextualSpacing w:val="0"/>
        <w:jc w:val="both"/>
        <w:rPr>
          <w:rFonts w:cs="Arial"/>
          <w:szCs w:val="20"/>
          <w:lang w:val="fr-BE"/>
        </w:rPr>
      </w:pPr>
      <w:r w:rsidRPr="00F2250F">
        <w:rPr>
          <w:rFonts w:cs="Arial"/>
          <w:szCs w:val="20"/>
          <w:lang w:val="fr-FR"/>
        </w:rPr>
        <w:lastRenderedPageBreak/>
        <w:t xml:space="preserve">A l’inverse, on observe une diminution de la consommation d’antidépresseurs, d’anti-inflammatoires </w:t>
      </w:r>
      <w:r w:rsidR="00537B2B">
        <w:rPr>
          <w:rFonts w:cs="Arial"/>
          <w:szCs w:val="20"/>
          <w:lang w:val="fr-FR"/>
        </w:rPr>
        <w:t xml:space="preserve">et </w:t>
      </w:r>
      <w:r w:rsidR="00537B2B" w:rsidRPr="00F2250F">
        <w:rPr>
          <w:rFonts w:cs="Arial"/>
          <w:szCs w:val="20"/>
          <w:lang w:val="fr-FR"/>
        </w:rPr>
        <w:t>d’antipsychotiques</w:t>
      </w:r>
      <w:r w:rsidR="00537B2B">
        <w:rPr>
          <w:rFonts w:cs="Arial"/>
          <w:szCs w:val="20"/>
          <w:lang w:val="fr-FR"/>
        </w:rPr>
        <w:t xml:space="preserve"> </w:t>
      </w:r>
      <w:r w:rsidRPr="00F2250F">
        <w:rPr>
          <w:rFonts w:cs="Arial"/>
          <w:szCs w:val="20"/>
          <w:lang w:val="fr-FR"/>
        </w:rPr>
        <w:t>avec l’âge.</w:t>
      </w:r>
    </w:p>
    <w:p w14:paraId="1561625D" w14:textId="77777777" w:rsidR="00F2250F" w:rsidRPr="00F2250F" w:rsidRDefault="00F2250F" w:rsidP="001D67D1">
      <w:pPr>
        <w:pStyle w:val="Paragraphedeliste"/>
        <w:numPr>
          <w:ilvl w:val="0"/>
          <w:numId w:val="31"/>
        </w:numPr>
        <w:spacing w:before="120" w:after="120" w:line="240" w:lineRule="auto"/>
        <w:ind w:left="714" w:hanging="357"/>
        <w:contextualSpacing w:val="0"/>
        <w:jc w:val="both"/>
        <w:rPr>
          <w:rFonts w:cs="Arial"/>
          <w:szCs w:val="20"/>
          <w:lang w:val="fr-BE"/>
        </w:rPr>
      </w:pPr>
      <w:r w:rsidRPr="00F2250F">
        <w:rPr>
          <w:rFonts w:cs="Arial"/>
          <w:szCs w:val="20"/>
          <w:lang w:val="fr-FR"/>
        </w:rPr>
        <w:t>Au niveau des molécules restantes (hypoglycémiants, inhibiteurs de la pompe à proton, antibiotiques et antidouleurs), la consommation ne change pas fondamentalement en fonction de l’âge de l’affilié (l’écart étant inférieur à 1 point de pourcentage).</w:t>
      </w:r>
    </w:p>
    <w:p w14:paraId="2CED8803" w14:textId="77777777" w:rsidR="00C06A2C" w:rsidRPr="003D6398" w:rsidRDefault="00C06A2C" w:rsidP="001D67D1">
      <w:pPr>
        <w:spacing w:after="120"/>
        <w:jc w:val="both"/>
        <w:rPr>
          <w:rStyle w:val="Accentuation"/>
          <w:lang w:val="fr-BE"/>
        </w:rPr>
      </w:pPr>
    </w:p>
    <w:p w14:paraId="3F1C4A0F" w14:textId="08035384" w:rsidR="00D30AAD" w:rsidRPr="007D60F6" w:rsidRDefault="00D30AAD" w:rsidP="007D60F6">
      <w:pPr>
        <w:pStyle w:val="Tableau"/>
      </w:pPr>
      <w:bookmarkStart w:id="9" w:name="_Toc130195831"/>
      <w:r w:rsidRPr="007D60F6">
        <w:t>Tab</w:t>
      </w:r>
      <w:r w:rsidR="00C06A2C" w:rsidRPr="007D60F6">
        <w:t>leau</w:t>
      </w:r>
      <w:r w:rsidRPr="007D60F6">
        <w:t xml:space="preserve"> </w:t>
      </w:r>
      <w:r w:rsidR="0011206F" w:rsidRPr="007D60F6">
        <w:t>3</w:t>
      </w:r>
      <w:r w:rsidRPr="007D60F6">
        <w:t xml:space="preserve">: </w:t>
      </w:r>
      <w:r w:rsidR="004C2580" w:rsidRPr="007D60F6">
        <w:t>Consommation par t</w:t>
      </w:r>
      <w:r w:rsidR="0052051F" w:rsidRPr="007D60F6">
        <w:t xml:space="preserve">ype de médicaments </w:t>
      </w:r>
      <w:r w:rsidR="00C06A2C" w:rsidRPr="007D60F6">
        <w:t>pour les personnes âgées de 70 ans et plus et pour celles de moins de 70 ans (</w:t>
      </w:r>
      <w:r w:rsidR="00DB7180" w:rsidRPr="007D60F6">
        <w:t>nombre</w:t>
      </w:r>
      <w:r w:rsidR="00C06A2C" w:rsidRPr="007D60F6">
        <w:t xml:space="preserve"> et %</w:t>
      </w:r>
      <w:r w:rsidR="00DB7180" w:rsidRPr="007D60F6">
        <w:t xml:space="preserve"> de DDD</w:t>
      </w:r>
      <w:r w:rsidR="00C06A2C" w:rsidRPr="007D60F6">
        <w:t>), 2021</w:t>
      </w:r>
      <w:bookmarkEnd w:id="9"/>
    </w:p>
    <w:tbl>
      <w:tblPr>
        <w:tblStyle w:val="Solidaris"/>
        <w:tblW w:w="0" w:type="auto"/>
        <w:tblBorders>
          <w:insideV w:val="none" w:sz="0" w:space="0" w:color="auto"/>
        </w:tblBorders>
        <w:tblLayout w:type="fixed"/>
        <w:tblLook w:val="04E0" w:firstRow="1" w:lastRow="1" w:firstColumn="1" w:lastColumn="0" w:noHBand="0" w:noVBand="1"/>
      </w:tblPr>
      <w:tblGrid>
        <w:gridCol w:w="2127"/>
        <w:gridCol w:w="1984"/>
        <w:gridCol w:w="1701"/>
        <w:gridCol w:w="1701"/>
        <w:gridCol w:w="189"/>
        <w:gridCol w:w="1324"/>
      </w:tblGrid>
      <w:tr w:rsidR="009428B2" w:rsidRPr="007044B5" w14:paraId="4E41B627" w14:textId="77777777" w:rsidTr="00B07EC1">
        <w:trPr>
          <w:cnfStyle w:val="100000000000" w:firstRow="1" w:lastRow="0" w:firstColumn="0" w:lastColumn="0" w:oddVBand="0" w:evenVBand="0" w:oddHBand="0" w:evenHBand="0" w:firstRowFirstColumn="0" w:firstRowLastColumn="0" w:lastRowFirstColumn="0" w:lastRowLastColumn="0"/>
          <w:trHeight w:val="239"/>
        </w:trPr>
        <w:tc>
          <w:tcPr>
            <w:tcW w:w="2127" w:type="dxa"/>
            <w:vMerge w:val="restart"/>
            <w:tcBorders>
              <w:top w:val="none" w:sz="0" w:space="0" w:color="auto"/>
              <w:left w:val="none" w:sz="0" w:space="0" w:color="auto"/>
              <w:bottom w:val="none" w:sz="0" w:space="0" w:color="auto"/>
              <w:tl2br w:val="none" w:sz="0" w:space="0" w:color="auto"/>
              <w:tr2bl w:val="none" w:sz="0" w:space="0" w:color="auto"/>
            </w:tcBorders>
          </w:tcPr>
          <w:p w14:paraId="3B520062" w14:textId="377B8203" w:rsidR="009428B2" w:rsidRPr="007044B5" w:rsidRDefault="00635644" w:rsidP="001D67D1">
            <w:pPr>
              <w:jc w:val="both"/>
              <w:rPr>
                <w:sz w:val="18"/>
                <w:szCs w:val="18"/>
              </w:rPr>
            </w:pPr>
            <w:r w:rsidRPr="007044B5">
              <w:rPr>
                <w:rFonts w:eastAsia="Times New Roman"/>
                <w:color w:val="FFFFFF" w:themeColor="background1"/>
                <w:sz w:val="18"/>
                <w:szCs w:val="18"/>
                <w:lang w:val="nl-BE" w:eastAsia="en-US"/>
              </w:rPr>
              <w:t>Type de médicament</w:t>
            </w:r>
          </w:p>
        </w:tc>
        <w:tc>
          <w:tcPr>
            <w:tcW w:w="3685" w:type="dxa"/>
            <w:gridSpan w:val="2"/>
            <w:tcBorders>
              <w:top w:val="none" w:sz="0" w:space="0" w:color="auto"/>
              <w:bottom w:val="none" w:sz="0" w:space="0" w:color="auto"/>
              <w:tl2br w:val="none" w:sz="0" w:space="0" w:color="auto"/>
              <w:tr2bl w:val="none" w:sz="0" w:space="0" w:color="auto"/>
            </w:tcBorders>
          </w:tcPr>
          <w:p w14:paraId="28A29C8B" w14:textId="6E8256F5" w:rsidR="009428B2" w:rsidRPr="007044B5" w:rsidRDefault="00C06A2C" w:rsidP="0052051F">
            <w:pPr>
              <w:rPr>
                <w:b w:val="0"/>
                <w:bCs w:val="0"/>
                <w:sz w:val="18"/>
                <w:szCs w:val="18"/>
              </w:rPr>
            </w:pPr>
            <w:r w:rsidRPr="007044B5">
              <w:rPr>
                <w:sz w:val="18"/>
                <w:szCs w:val="18"/>
              </w:rPr>
              <w:t>Nombre</w:t>
            </w:r>
            <w:r w:rsidR="001B79D8" w:rsidRPr="007044B5">
              <w:rPr>
                <w:sz w:val="18"/>
                <w:szCs w:val="18"/>
              </w:rPr>
              <w:t xml:space="preserve"> DDD</w:t>
            </w:r>
          </w:p>
        </w:tc>
        <w:tc>
          <w:tcPr>
            <w:tcW w:w="3214" w:type="dxa"/>
            <w:gridSpan w:val="3"/>
            <w:tcBorders>
              <w:top w:val="none" w:sz="0" w:space="0" w:color="auto"/>
              <w:bottom w:val="none" w:sz="0" w:space="0" w:color="auto"/>
              <w:right w:val="none" w:sz="0" w:space="0" w:color="auto"/>
              <w:tl2br w:val="none" w:sz="0" w:space="0" w:color="auto"/>
              <w:tr2bl w:val="none" w:sz="0" w:space="0" w:color="auto"/>
            </w:tcBorders>
          </w:tcPr>
          <w:p w14:paraId="4B567134" w14:textId="04C58F5C" w:rsidR="009428B2" w:rsidRPr="007044B5" w:rsidRDefault="008D67B9" w:rsidP="0052051F">
            <w:pPr>
              <w:rPr>
                <w:b w:val="0"/>
                <w:bCs w:val="0"/>
                <w:sz w:val="18"/>
                <w:szCs w:val="18"/>
              </w:rPr>
            </w:pPr>
            <w:r w:rsidRPr="007044B5">
              <w:rPr>
                <w:sz w:val="18"/>
                <w:szCs w:val="18"/>
              </w:rPr>
              <w:t>DDD (%)</w:t>
            </w:r>
          </w:p>
        </w:tc>
      </w:tr>
      <w:tr w:rsidR="00635644" w:rsidRPr="007044B5" w14:paraId="068153F6" w14:textId="77777777" w:rsidTr="001B23A6">
        <w:trPr>
          <w:cnfStyle w:val="000000100000" w:firstRow="0" w:lastRow="0" w:firstColumn="0" w:lastColumn="0" w:oddVBand="0" w:evenVBand="0" w:oddHBand="1" w:evenHBand="0" w:firstRowFirstColumn="0" w:firstRowLastColumn="0" w:lastRowFirstColumn="0" w:lastRowLastColumn="0"/>
          <w:trHeight w:val="429"/>
        </w:trPr>
        <w:tc>
          <w:tcPr>
            <w:tcW w:w="2127" w:type="dxa"/>
            <w:vMerge/>
            <w:tcBorders>
              <w:right w:val="single" w:sz="4" w:space="0" w:color="FFFFFF" w:themeColor="background1"/>
            </w:tcBorders>
            <w:shd w:val="solid" w:color="D90030" w:fill="FFFFFF"/>
          </w:tcPr>
          <w:p w14:paraId="21817FAE" w14:textId="77777777" w:rsidR="00635644" w:rsidRPr="007044B5" w:rsidRDefault="00635644" w:rsidP="001D67D1">
            <w:pPr>
              <w:jc w:val="both"/>
              <w:rPr>
                <w:rFonts w:eastAsia="Times New Roman"/>
                <w:color w:val="FFFFFF" w:themeColor="background1"/>
                <w:sz w:val="18"/>
                <w:szCs w:val="18"/>
              </w:rPr>
            </w:pPr>
          </w:p>
        </w:tc>
        <w:tc>
          <w:tcPr>
            <w:tcW w:w="1984" w:type="dxa"/>
            <w:tcBorders>
              <w:left w:val="single" w:sz="4" w:space="0" w:color="FFFFFF" w:themeColor="background1"/>
              <w:bottom w:val="none" w:sz="0" w:space="0" w:color="auto"/>
              <w:right w:val="none" w:sz="0" w:space="0" w:color="auto"/>
            </w:tcBorders>
            <w:shd w:val="solid" w:color="D90030" w:fill="FFFFFF"/>
          </w:tcPr>
          <w:p w14:paraId="23F06A72" w14:textId="1C36E6C9" w:rsidR="00635644" w:rsidRPr="007044B5" w:rsidRDefault="00635644" w:rsidP="0052051F">
            <w:pPr>
              <w:spacing w:before="60" w:after="60"/>
              <w:rPr>
                <w:color w:val="FFFFFF"/>
                <w:sz w:val="18"/>
                <w:szCs w:val="18"/>
              </w:rPr>
            </w:pPr>
            <w:r w:rsidRPr="007044B5">
              <w:rPr>
                <w:color w:val="FFFFFF"/>
                <w:sz w:val="18"/>
                <w:szCs w:val="18"/>
              </w:rPr>
              <w:t>&lt; 70 ans</w:t>
            </w:r>
          </w:p>
        </w:tc>
        <w:tc>
          <w:tcPr>
            <w:tcW w:w="1701" w:type="dxa"/>
            <w:tcBorders>
              <w:left w:val="nil"/>
              <w:bottom w:val="none" w:sz="0" w:space="0" w:color="auto"/>
              <w:right w:val="single" w:sz="4" w:space="0" w:color="FFFFFF" w:themeColor="background1"/>
            </w:tcBorders>
            <w:shd w:val="solid" w:color="D90030" w:fill="FFFFFF"/>
          </w:tcPr>
          <w:p w14:paraId="000BF35B" w14:textId="21940DD7" w:rsidR="00635644" w:rsidRPr="007044B5" w:rsidRDefault="00635644" w:rsidP="0052051F">
            <w:pPr>
              <w:rPr>
                <w:color w:val="F2F2F2" w:themeColor="background1" w:themeShade="F2"/>
                <w:sz w:val="18"/>
                <w:szCs w:val="18"/>
              </w:rPr>
            </w:pPr>
            <w:r w:rsidRPr="007044B5">
              <w:rPr>
                <w:color w:val="FFFFFF" w:themeColor="background1"/>
                <w:sz w:val="18"/>
                <w:szCs w:val="18"/>
              </w:rPr>
              <w:t>&gt;= 70 ans</w:t>
            </w:r>
          </w:p>
        </w:tc>
        <w:tc>
          <w:tcPr>
            <w:tcW w:w="1890" w:type="dxa"/>
            <w:gridSpan w:val="2"/>
            <w:tcBorders>
              <w:left w:val="single" w:sz="4" w:space="0" w:color="FFFFFF" w:themeColor="background1"/>
            </w:tcBorders>
            <w:shd w:val="solid" w:color="D90030" w:fill="FFFFFF"/>
          </w:tcPr>
          <w:p w14:paraId="7F99CD94" w14:textId="05D9E687" w:rsidR="00635644" w:rsidRPr="007044B5" w:rsidRDefault="00635644" w:rsidP="0052051F">
            <w:pPr>
              <w:rPr>
                <w:color w:val="F2F2F2" w:themeColor="background1" w:themeShade="F2"/>
                <w:sz w:val="18"/>
                <w:szCs w:val="18"/>
              </w:rPr>
            </w:pPr>
            <w:r w:rsidRPr="007044B5">
              <w:rPr>
                <w:color w:val="FFFFFF"/>
                <w:sz w:val="18"/>
                <w:szCs w:val="18"/>
              </w:rPr>
              <w:t>&lt; 70 ans</w:t>
            </w:r>
          </w:p>
        </w:tc>
        <w:tc>
          <w:tcPr>
            <w:tcW w:w="1324" w:type="dxa"/>
            <w:shd w:val="solid" w:color="D90030" w:fill="FFFFFF"/>
          </w:tcPr>
          <w:p w14:paraId="6583A5ED" w14:textId="692C790C" w:rsidR="00635644" w:rsidRPr="007044B5" w:rsidRDefault="00635644" w:rsidP="0052051F">
            <w:pPr>
              <w:rPr>
                <w:sz w:val="18"/>
                <w:szCs w:val="18"/>
              </w:rPr>
            </w:pPr>
            <w:r w:rsidRPr="007044B5">
              <w:rPr>
                <w:color w:val="FFFFFF" w:themeColor="background1"/>
                <w:sz w:val="18"/>
                <w:szCs w:val="18"/>
              </w:rPr>
              <w:t>&gt;= 70 ans</w:t>
            </w:r>
          </w:p>
        </w:tc>
      </w:tr>
      <w:tr w:rsidR="003514DE" w:rsidRPr="007044B5" w14:paraId="2DB2994F" w14:textId="77777777" w:rsidTr="00790EED">
        <w:trPr>
          <w:trHeight w:val="340"/>
        </w:trPr>
        <w:tc>
          <w:tcPr>
            <w:tcW w:w="2127" w:type="dxa"/>
            <w:tcBorders>
              <w:right w:val="single" w:sz="4" w:space="0" w:color="DA002F"/>
            </w:tcBorders>
          </w:tcPr>
          <w:p w14:paraId="49F5C870" w14:textId="4F226AE6" w:rsidR="003514DE" w:rsidRPr="007044B5" w:rsidRDefault="003514DE" w:rsidP="001D67D1">
            <w:pPr>
              <w:jc w:val="both"/>
              <w:rPr>
                <w:sz w:val="18"/>
                <w:szCs w:val="18"/>
              </w:rPr>
            </w:pPr>
            <w:proofErr w:type="spellStart"/>
            <w:r w:rsidRPr="007044B5">
              <w:rPr>
                <w:sz w:val="18"/>
                <w:szCs w:val="18"/>
              </w:rPr>
              <w:t>Antit</w:t>
            </w:r>
            <w:r w:rsidRPr="007044B5">
              <w:rPr>
                <w:sz w:val="18"/>
                <w:szCs w:val="18"/>
                <w:lang w:val="nl-BE"/>
              </w:rPr>
              <w:t>agrégant</w:t>
            </w:r>
            <w:proofErr w:type="spellEnd"/>
            <w:r w:rsidRPr="007044B5">
              <w:rPr>
                <w:sz w:val="18"/>
                <w:szCs w:val="18"/>
              </w:rPr>
              <w:t>s</w:t>
            </w:r>
          </w:p>
        </w:tc>
        <w:tc>
          <w:tcPr>
            <w:tcW w:w="1984" w:type="dxa"/>
            <w:tcBorders>
              <w:left w:val="single" w:sz="4" w:space="0" w:color="DA002F"/>
              <w:right w:val="single" w:sz="4" w:space="0" w:color="DA002F"/>
            </w:tcBorders>
          </w:tcPr>
          <w:p w14:paraId="75175B75" w14:textId="21189039" w:rsidR="003514DE" w:rsidRPr="007044B5" w:rsidRDefault="003514DE" w:rsidP="0052051F">
            <w:pPr>
              <w:rPr>
                <w:sz w:val="18"/>
                <w:szCs w:val="18"/>
              </w:rPr>
            </w:pPr>
            <w:r w:rsidRPr="007044B5">
              <w:rPr>
                <w:sz w:val="18"/>
                <w:szCs w:val="18"/>
              </w:rPr>
              <w:t>66 308 308</w:t>
            </w:r>
          </w:p>
        </w:tc>
        <w:tc>
          <w:tcPr>
            <w:tcW w:w="1701" w:type="dxa"/>
            <w:tcBorders>
              <w:left w:val="single" w:sz="4" w:space="0" w:color="DA002F"/>
              <w:right w:val="single" w:sz="4" w:space="0" w:color="DA002F"/>
            </w:tcBorders>
          </w:tcPr>
          <w:p w14:paraId="1C1C917D" w14:textId="1F6C3264" w:rsidR="003514DE" w:rsidRPr="007044B5" w:rsidRDefault="003514DE" w:rsidP="0052051F">
            <w:pPr>
              <w:rPr>
                <w:sz w:val="18"/>
                <w:szCs w:val="18"/>
              </w:rPr>
            </w:pPr>
            <w:r w:rsidRPr="007044B5">
              <w:rPr>
                <w:sz w:val="18"/>
                <w:szCs w:val="18"/>
              </w:rPr>
              <w:t>77 952 748</w:t>
            </w:r>
          </w:p>
        </w:tc>
        <w:tc>
          <w:tcPr>
            <w:tcW w:w="1701" w:type="dxa"/>
            <w:tcBorders>
              <w:left w:val="single" w:sz="4" w:space="0" w:color="DA002F"/>
              <w:right w:val="single" w:sz="4" w:space="0" w:color="DA002F"/>
            </w:tcBorders>
          </w:tcPr>
          <w:p w14:paraId="0F06372A" w14:textId="40DF3981" w:rsidR="003514DE" w:rsidRPr="007044B5" w:rsidRDefault="003514DE" w:rsidP="0052051F">
            <w:pPr>
              <w:rPr>
                <w:sz w:val="18"/>
                <w:szCs w:val="18"/>
              </w:rPr>
            </w:pPr>
            <w:r w:rsidRPr="007044B5">
              <w:rPr>
                <w:sz w:val="18"/>
                <w:szCs w:val="18"/>
              </w:rPr>
              <w:t>7%</w:t>
            </w:r>
          </w:p>
        </w:tc>
        <w:tc>
          <w:tcPr>
            <w:tcW w:w="1513" w:type="dxa"/>
            <w:gridSpan w:val="2"/>
            <w:tcBorders>
              <w:left w:val="single" w:sz="4" w:space="0" w:color="DA002F"/>
            </w:tcBorders>
          </w:tcPr>
          <w:p w14:paraId="7C7EF60F" w14:textId="0232E8FA" w:rsidR="003514DE" w:rsidRPr="007044B5" w:rsidRDefault="003514DE" w:rsidP="0052051F">
            <w:pPr>
              <w:rPr>
                <w:sz w:val="18"/>
                <w:szCs w:val="18"/>
              </w:rPr>
            </w:pPr>
            <w:r w:rsidRPr="007044B5">
              <w:rPr>
                <w:sz w:val="18"/>
                <w:szCs w:val="18"/>
              </w:rPr>
              <w:t>13%</w:t>
            </w:r>
          </w:p>
        </w:tc>
      </w:tr>
      <w:tr w:rsidR="003514DE" w:rsidRPr="007044B5" w14:paraId="1218418C" w14:textId="77777777" w:rsidTr="00790EED">
        <w:trPr>
          <w:cnfStyle w:val="000000100000" w:firstRow="0" w:lastRow="0" w:firstColumn="0" w:lastColumn="0" w:oddVBand="0" w:evenVBand="0" w:oddHBand="1" w:evenHBand="0" w:firstRowFirstColumn="0" w:firstRowLastColumn="0" w:lastRowFirstColumn="0" w:lastRowLastColumn="0"/>
          <w:trHeight w:val="340"/>
        </w:trPr>
        <w:tc>
          <w:tcPr>
            <w:tcW w:w="2127" w:type="dxa"/>
            <w:tcBorders>
              <w:right w:val="single" w:sz="4" w:space="0" w:color="DA002F"/>
            </w:tcBorders>
          </w:tcPr>
          <w:p w14:paraId="37B028EB" w14:textId="7DAFADE9" w:rsidR="003514DE" w:rsidRPr="007044B5" w:rsidRDefault="003514DE" w:rsidP="001D67D1">
            <w:pPr>
              <w:jc w:val="both"/>
              <w:rPr>
                <w:sz w:val="18"/>
                <w:szCs w:val="18"/>
              </w:rPr>
            </w:pPr>
            <w:r w:rsidRPr="007044B5">
              <w:rPr>
                <w:sz w:val="18"/>
                <w:szCs w:val="18"/>
              </w:rPr>
              <w:t>Antibiotiques</w:t>
            </w:r>
          </w:p>
        </w:tc>
        <w:tc>
          <w:tcPr>
            <w:tcW w:w="1984" w:type="dxa"/>
            <w:tcBorders>
              <w:left w:val="single" w:sz="4" w:space="0" w:color="DA002F"/>
              <w:right w:val="single" w:sz="4" w:space="0" w:color="DA002F"/>
            </w:tcBorders>
          </w:tcPr>
          <w:p w14:paraId="7C1E8234" w14:textId="293C1FDE" w:rsidR="003514DE" w:rsidRPr="007044B5" w:rsidRDefault="003514DE" w:rsidP="0052051F">
            <w:pPr>
              <w:rPr>
                <w:sz w:val="18"/>
                <w:szCs w:val="18"/>
              </w:rPr>
            </w:pPr>
            <w:r w:rsidRPr="007044B5">
              <w:rPr>
                <w:sz w:val="18"/>
                <w:szCs w:val="18"/>
              </w:rPr>
              <w:t>17 572 424</w:t>
            </w:r>
          </w:p>
        </w:tc>
        <w:tc>
          <w:tcPr>
            <w:tcW w:w="1701" w:type="dxa"/>
            <w:tcBorders>
              <w:left w:val="single" w:sz="4" w:space="0" w:color="DA002F"/>
              <w:right w:val="single" w:sz="4" w:space="0" w:color="DA002F"/>
            </w:tcBorders>
          </w:tcPr>
          <w:p w14:paraId="397605FE" w14:textId="6DD1C5D2" w:rsidR="003514DE" w:rsidRPr="007044B5" w:rsidRDefault="003514DE" w:rsidP="0052051F">
            <w:pPr>
              <w:rPr>
                <w:sz w:val="18"/>
                <w:szCs w:val="18"/>
              </w:rPr>
            </w:pPr>
            <w:r w:rsidRPr="007044B5">
              <w:rPr>
                <w:sz w:val="18"/>
                <w:szCs w:val="18"/>
              </w:rPr>
              <w:t>4 684 044</w:t>
            </w:r>
          </w:p>
        </w:tc>
        <w:tc>
          <w:tcPr>
            <w:tcW w:w="1701" w:type="dxa"/>
            <w:tcBorders>
              <w:left w:val="single" w:sz="4" w:space="0" w:color="DA002F"/>
              <w:right w:val="single" w:sz="4" w:space="0" w:color="DA002F"/>
            </w:tcBorders>
          </w:tcPr>
          <w:p w14:paraId="7FD0B9E9" w14:textId="7F29F0B4" w:rsidR="003514DE" w:rsidRPr="007044B5" w:rsidRDefault="003514DE" w:rsidP="0052051F">
            <w:pPr>
              <w:rPr>
                <w:sz w:val="18"/>
                <w:szCs w:val="18"/>
              </w:rPr>
            </w:pPr>
            <w:r w:rsidRPr="007044B5">
              <w:rPr>
                <w:sz w:val="18"/>
                <w:szCs w:val="18"/>
              </w:rPr>
              <w:t>2%</w:t>
            </w:r>
          </w:p>
        </w:tc>
        <w:tc>
          <w:tcPr>
            <w:tcW w:w="1513" w:type="dxa"/>
            <w:gridSpan w:val="2"/>
            <w:tcBorders>
              <w:left w:val="single" w:sz="4" w:space="0" w:color="DA002F"/>
            </w:tcBorders>
          </w:tcPr>
          <w:p w14:paraId="05791B48" w14:textId="438ED70E" w:rsidR="003514DE" w:rsidRPr="007044B5" w:rsidRDefault="003514DE" w:rsidP="0052051F">
            <w:pPr>
              <w:rPr>
                <w:sz w:val="18"/>
                <w:szCs w:val="18"/>
              </w:rPr>
            </w:pPr>
            <w:r w:rsidRPr="007044B5">
              <w:rPr>
                <w:sz w:val="18"/>
                <w:szCs w:val="18"/>
              </w:rPr>
              <w:t>1%</w:t>
            </w:r>
          </w:p>
        </w:tc>
      </w:tr>
      <w:tr w:rsidR="003514DE" w:rsidRPr="007044B5" w14:paraId="6EA10D5B" w14:textId="77777777" w:rsidTr="00790EED">
        <w:trPr>
          <w:trHeight w:val="340"/>
        </w:trPr>
        <w:tc>
          <w:tcPr>
            <w:tcW w:w="2127" w:type="dxa"/>
            <w:tcBorders>
              <w:right w:val="single" w:sz="4" w:space="0" w:color="DA002F"/>
            </w:tcBorders>
          </w:tcPr>
          <w:p w14:paraId="479747AA" w14:textId="0E18A0A6" w:rsidR="003514DE" w:rsidRPr="007044B5" w:rsidRDefault="003514DE" w:rsidP="001D67D1">
            <w:pPr>
              <w:jc w:val="both"/>
              <w:rPr>
                <w:sz w:val="18"/>
                <w:szCs w:val="18"/>
              </w:rPr>
            </w:pPr>
            <w:r w:rsidRPr="007044B5">
              <w:rPr>
                <w:sz w:val="18"/>
                <w:szCs w:val="18"/>
              </w:rPr>
              <w:t>Antidépresseurs</w:t>
            </w:r>
          </w:p>
        </w:tc>
        <w:tc>
          <w:tcPr>
            <w:tcW w:w="1984" w:type="dxa"/>
            <w:tcBorders>
              <w:left w:val="single" w:sz="4" w:space="0" w:color="DA002F"/>
              <w:right w:val="single" w:sz="4" w:space="0" w:color="DA002F"/>
            </w:tcBorders>
          </w:tcPr>
          <w:p w14:paraId="11A51A41" w14:textId="336C7820" w:rsidR="003514DE" w:rsidRPr="007044B5" w:rsidRDefault="003514DE" w:rsidP="0052051F">
            <w:pPr>
              <w:rPr>
                <w:sz w:val="18"/>
                <w:szCs w:val="18"/>
              </w:rPr>
            </w:pPr>
            <w:r w:rsidRPr="007044B5">
              <w:rPr>
                <w:sz w:val="18"/>
                <w:szCs w:val="18"/>
              </w:rPr>
              <w:t>86 423 100</w:t>
            </w:r>
          </w:p>
        </w:tc>
        <w:tc>
          <w:tcPr>
            <w:tcW w:w="1701" w:type="dxa"/>
            <w:tcBorders>
              <w:left w:val="single" w:sz="4" w:space="0" w:color="DA002F"/>
              <w:right w:val="single" w:sz="4" w:space="0" w:color="DA002F"/>
            </w:tcBorders>
          </w:tcPr>
          <w:p w14:paraId="05ECECC2" w14:textId="25562E74" w:rsidR="003514DE" w:rsidRPr="007044B5" w:rsidRDefault="003514DE" w:rsidP="0052051F">
            <w:pPr>
              <w:rPr>
                <w:sz w:val="18"/>
                <w:szCs w:val="18"/>
              </w:rPr>
            </w:pPr>
            <w:r w:rsidRPr="007044B5">
              <w:rPr>
                <w:sz w:val="18"/>
                <w:szCs w:val="18"/>
              </w:rPr>
              <w:t>26 252 373</w:t>
            </w:r>
          </w:p>
        </w:tc>
        <w:tc>
          <w:tcPr>
            <w:tcW w:w="1701" w:type="dxa"/>
            <w:tcBorders>
              <w:left w:val="single" w:sz="4" w:space="0" w:color="DA002F"/>
              <w:right w:val="single" w:sz="4" w:space="0" w:color="DA002F"/>
            </w:tcBorders>
          </w:tcPr>
          <w:p w14:paraId="6D438A58" w14:textId="735133F2" w:rsidR="003514DE" w:rsidRPr="007044B5" w:rsidRDefault="003514DE" w:rsidP="0052051F">
            <w:pPr>
              <w:rPr>
                <w:sz w:val="18"/>
                <w:szCs w:val="18"/>
              </w:rPr>
            </w:pPr>
            <w:r w:rsidRPr="007044B5">
              <w:rPr>
                <w:sz w:val="18"/>
                <w:szCs w:val="18"/>
              </w:rPr>
              <w:t>9%</w:t>
            </w:r>
          </w:p>
        </w:tc>
        <w:tc>
          <w:tcPr>
            <w:tcW w:w="1513" w:type="dxa"/>
            <w:gridSpan w:val="2"/>
            <w:tcBorders>
              <w:left w:val="single" w:sz="4" w:space="0" w:color="DA002F"/>
            </w:tcBorders>
          </w:tcPr>
          <w:p w14:paraId="531F30D4" w14:textId="532FB568" w:rsidR="003514DE" w:rsidRPr="007044B5" w:rsidRDefault="003514DE" w:rsidP="0052051F">
            <w:pPr>
              <w:rPr>
                <w:sz w:val="18"/>
                <w:szCs w:val="18"/>
              </w:rPr>
            </w:pPr>
            <w:r w:rsidRPr="007044B5">
              <w:rPr>
                <w:sz w:val="18"/>
                <w:szCs w:val="18"/>
              </w:rPr>
              <w:t>4%</w:t>
            </w:r>
          </w:p>
        </w:tc>
      </w:tr>
      <w:tr w:rsidR="003514DE" w:rsidRPr="007044B5" w14:paraId="01091749" w14:textId="77777777" w:rsidTr="00790EED">
        <w:trPr>
          <w:cnfStyle w:val="000000100000" w:firstRow="0" w:lastRow="0" w:firstColumn="0" w:lastColumn="0" w:oddVBand="0" w:evenVBand="0" w:oddHBand="1" w:evenHBand="0" w:firstRowFirstColumn="0" w:firstRowLastColumn="0" w:lastRowFirstColumn="0" w:lastRowLastColumn="0"/>
          <w:trHeight w:val="340"/>
        </w:trPr>
        <w:tc>
          <w:tcPr>
            <w:tcW w:w="2127" w:type="dxa"/>
            <w:tcBorders>
              <w:right w:val="single" w:sz="4" w:space="0" w:color="DA002F"/>
            </w:tcBorders>
          </w:tcPr>
          <w:p w14:paraId="338A3BD1" w14:textId="75911532" w:rsidR="003514DE" w:rsidRPr="007044B5" w:rsidRDefault="003514DE" w:rsidP="001D67D1">
            <w:pPr>
              <w:jc w:val="both"/>
              <w:rPr>
                <w:sz w:val="18"/>
                <w:szCs w:val="18"/>
              </w:rPr>
            </w:pPr>
            <w:proofErr w:type="spellStart"/>
            <w:r w:rsidRPr="007044B5">
              <w:rPr>
                <w:sz w:val="18"/>
                <w:szCs w:val="18"/>
                <w:lang w:val="nl-BE"/>
              </w:rPr>
              <w:t>Antidouleurs</w:t>
            </w:r>
            <w:proofErr w:type="spellEnd"/>
            <w:r w:rsidRPr="007044B5">
              <w:rPr>
                <w:sz w:val="18"/>
                <w:szCs w:val="18"/>
                <w:lang w:val="nl-BE"/>
              </w:rPr>
              <w:t xml:space="preserve"> </w:t>
            </w:r>
            <w:proofErr w:type="spellStart"/>
            <w:r w:rsidRPr="007044B5">
              <w:rPr>
                <w:sz w:val="18"/>
                <w:szCs w:val="18"/>
                <w:lang w:val="nl-BE"/>
              </w:rPr>
              <w:t>opiacés</w:t>
            </w:r>
            <w:proofErr w:type="spellEnd"/>
          </w:p>
        </w:tc>
        <w:tc>
          <w:tcPr>
            <w:tcW w:w="1984" w:type="dxa"/>
            <w:tcBorders>
              <w:left w:val="single" w:sz="4" w:space="0" w:color="DA002F"/>
              <w:right w:val="single" w:sz="4" w:space="0" w:color="DA002F"/>
            </w:tcBorders>
          </w:tcPr>
          <w:p w14:paraId="5925A029" w14:textId="075B59DD" w:rsidR="003514DE" w:rsidRPr="007044B5" w:rsidRDefault="003514DE" w:rsidP="0052051F">
            <w:pPr>
              <w:rPr>
                <w:sz w:val="18"/>
                <w:szCs w:val="18"/>
              </w:rPr>
            </w:pPr>
            <w:r w:rsidRPr="007044B5">
              <w:rPr>
                <w:sz w:val="18"/>
                <w:szCs w:val="18"/>
              </w:rPr>
              <w:t>17 638 014</w:t>
            </w:r>
          </w:p>
        </w:tc>
        <w:tc>
          <w:tcPr>
            <w:tcW w:w="1701" w:type="dxa"/>
            <w:tcBorders>
              <w:left w:val="single" w:sz="4" w:space="0" w:color="DA002F"/>
              <w:right w:val="single" w:sz="4" w:space="0" w:color="DA002F"/>
            </w:tcBorders>
          </w:tcPr>
          <w:p w14:paraId="137E1991" w14:textId="31B8BC93" w:rsidR="003514DE" w:rsidRPr="007044B5" w:rsidRDefault="003514DE" w:rsidP="0052051F">
            <w:pPr>
              <w:rPr>
                <w:sz w:val="18"/>
                <w:szCs w:val="18"/>
              </w:rPr>
            </w:pPr>
            <w:r w:rsidRPr="007044B5">
              <w:rPr>
                <w:sz w:val="18"/>
                <w:szCs w:val="18"/>
              </w:rPr>
              <w:t>7 930 403</w:t>
            </w:r>
          </w:p>
        </w:tc>
        <w:tc>
          <w:tcPr>
            <w:tcW w:w="1701" w:type="dxa"/>
            <w:tcBorders>
              <w:left w:val="single" w:sz="4" w:space="0" w:color="DA002F"/>
              <w:right w:val="single" w:sz="4" w:space="0" w:color="DA002F"/>
            </w:tcBorders>
          </w:tcPr>
          <w:p w14:paraId="67A78CE4" w14:textId="474C9B7A" w:rsidR="003514DE" w:rsidRPr="007044B5" w:rsidRDefault="003514DE" w:rsidP="0052051F">
            <w:pPr>
              <w:rPr>
                <w:sz w:val="18"/>
                <w:szCs w:val="18"/>
              </w:rPr>
            </w:pPr>
            <w:r w:rsidRPr="007044B5">
              <w:rPr>
                <w:sz w:val="18"/>
                <w:szCs w:val="18"/>
              </w:rPr>
              <w:t>2%</w:t>
            </w:r>
          </w:p>
        </w:tc>
        <w:tc>
          <w:tcPr>
            <w:tcW w:w="1513" w:type="dxa"/>
            <w:gridSpan w:val="2"/>
            <w:tcBorders>
              <w:left w:val="single" w:sz="4" w:space="0" w:color="DA002F"/>
            </w:tcBorders>
          </w:tcPr>
          <w:p w14:paraId="21D4F008" w14:textId="40C6FD4D" w:rsidR="003514DE" w:rsidRPr="007044B5" w:rsidRDefault="003514DE" w:rsidP="0052051F">
            <w:pPr>
              <w:rPr>
                <w:sz w:val="18"/>
                <w:szCs w:val="18"/>
              </w:rPr>
            </w:pPr>
            <w:r w:rsidRPr="007044B5">
              <w:rPr>
                <w:sz w:val="18"/>
                <w:szCs w:val="18"/>
              </w:rPr>
              <w:t>1%</w:t>
            </w:r>
          </w:p>
        </w:tc>
      </w:tr>
      <w:tr w:rsidR="003514DE" w:rsidRPr="007044B5" w14:paraId="1E64C8B2" w14:textId="77777777" w:rsidTr="00790EED">
        <w:trPr>
          <w:trHeight w:val="340"/>
        </w:trPr>
        <w:tc>
          <w:tcPr>
            <w:tcW w:w="2127" w:type="dxa"/>
            <w:tcBorders>
              <w:right w:val="single" w:sz="4" w:space="0" w:color="DA002F"/>
            </w:tcBorders>
          </w:tcPr>
          <w:p w14:paraId="54CEFDB8" w14:textId="46AFC725" w:rsidR="003514DE" w:rsidRPr="007044B5" w:rsidRDefault="003514DE" w:rsidP="001D67D1">
            <w:pPr>
              <w:jc w:val="both"/>
              <w:rPr>
                <w:sz w:val="18"/>
                <w:szCs w:val="18"/>
                <w:lang w:val="nl-BE"/>
              </w:rPr>
            </w:pPr>
            <w:proofErr w:type="spellStart"/>
            <w:r w:rsidRPr="007044B5">
              <w:rPr>
                <w:sz w:val="18"/>
                <w:szCs w:val="18"/>
                <w:lang w:val="nl-BE"/>
              </w:rPr>
              <w:t>Antihypertenseurs</w:t>
            </w:r>
            <w:proofErr w:type="spellEnd"/>
          </w:p>
        </w:tc>
        <w:tc>
          <w:tcPr>
            <w:tcW w:w="1984" w:type="dxa"/>
            <w:tcBorders>
              <w:left w:val="single" w:sz="4" w:space="0" w:color="DA002F"/>
              <w:right w:val="single" w:sz="4" w:space="0" w:color="DA002F"/>
            </w:tcBorders>
          </w:tcPr>
          <w:p w14:paraId="23E87083" w14:textId="3F57A906" w:rsidR="003514DE" w:rsidRPr="007044B5" w:rsidRDefault="003514DE" w:rsidP="0052051F">
            <w:pPr>
              <w:rPr>
                <w:sz w:val="18"/>
                <w:szCs w:val="18"/>
              </w:rPr>
            </w:pPr>
            <w:r w:rsidRPr="007044B5">
              <w:rPr>
                <w:sz w:val="18"/>
                <w:szCs w:val="18"/>
              </w:rPr>
              <w:t>185 017 942</w:t>
            </w:r>
          </w:p>
        </w:tc>
        <w:tc>
          <w:tcPr>
            <w:tcW w:w="1701" w:type="dxa"/>
            <w:tcBorders>
              <w:left w:val="single" w:sz="4" w:space="0" w:color="DA002F"/>
              <w:right w:val="single" w:sz="4" w:space="0" w:color="DA002F"/>
            </w:tcBorders>
          </w:tcPr>
          <w:p w14:paraId="2731096A" w14:textId="55F6AA12" w:rsidR="003514DE" w:rsidRPr="007044B5" w:rsidRDefault="003514DE" w:rsidP="0052051F">
            <w:pPr>
              <w:rPr>
                <w:sz w:val="18"/>
                <w:szCs w:val="18"/>
              </w:rPr>
            </w:pPr>
            <w:r w:rsidRPr="007044B5">
              <w:rPr>
                <w:sz w:val="18"/>
                <w:szCs w:val="18"/>
              </w:rPr>
              <w:t>177 576 568</w:t>
            </w:r>
          </w:p>
        </w:tc>
        <w:tc>
          <w:tcPr>
            <w:tcW w:w="1701" w:type="dxa"/>
            <w:tcBorders>
              <w:left w:val="single" w:sz="4" w:space="0" w:color="DA002F"/>
              <w:right w:val="single" w:sz="4" w:space="0" w:color="DA002F"/>
            </w:tcBorders>
          </w:tcPr>
          <w:p w14:paraId="1F42E759" w14:textId="58519104" w:rsidR="003514DE" w:rsidRPr="007044B5" w:rsidRDefault="003514DE" w:rsidP="0052051F">
            <w:pPr>
              <w:rPr>
                <w:sz w:val="18"/>
                <w:szCs w:val="18"/>
              </w:rPr>
            </w:pPr>
            <w:r w:rsidRPr="007044B5">
              <w:rPr>
                <w:sz w:val="18"/>
                <w:szCs w:val="18"/>
              </w:rPr>
              <w:t>18%</w:t>
            </w:r>
          </w:p>
        </w:tc>
        <w:tc>
          <w:tcPr>
            <w:tcW w:w="1513" w:type="dxa"/>
            <w:gridSpan w:val="2"/>
            <w:tcBorders>
              <w:left w:val="single" w:sz="4" w:space="0" w:color="DA002F"/>
            </w:tcBorders>
          </w:tcPr>
          <w:p w14:paraId="64B211E1" w14:textId="2F60B52F" w:rsidR="003514DE" w:rsidRPr="007044B5" w:rsidRDefault="003514DE" w:rsidP="0052051F">
            <w:pPr>
              <w:rPr>
                <w:sz w:val="18"/>
                <w:szCs w:val="18"/>
              </w:rPr>
            </w:pPr>
            <w:r w:rsidRPr="007044B5">
              <w:rPr>
                <w:sz w:val="18"/>
                <w:szCs w:val="18"/>
              </w:rPr>
              <w:t>29%</w:t>
            </w:r>
          </w:p>
        </w:tc>
      </w:tr>
      <w:tr w:rsidR="003514DE" w:rsidRPr="007044B5" w14:paraId="595739A0" w14:textId="77777777" w:rsidTr="00790EED">
        <w:trPr>
          <w:cnfStyle w:val="000000100000" w:firstRow="0" w:lastRow="0" w:firstColumn="0" w:lastColumn="0" w:oddVBand="0" w:evenVBand="0" w:oddHBand="1" w:evenHBand="0" w:firstRowFirstColumn="0" w:firstRowLastColumn="0" w:lastRowFirstColumn="0" w:lastRowLastColumn="0"/>
          <w:trHeight w:val="340"/>
        </w:trPr>
        <w:tc>
          <w:tcPr>
            <w:tcW w:w="2127" w:type="dxa"/>
            <w:tcBorders>
              <w:right w:val="single" w:sz="4" w:space="0" w:color="DA002F"/>
            </w:tcBorders>
          </w:tcPr>
          <w:p w14:paraId="1B7413FB" w14:textId="437F81AC" w:rsidR="003514DE" w:rsidRPr="007044B5" w:rsidRDefault="003514DE" w:rsidP="001D67D1">
            <w:pPr>
              <w:jc w:val="both"/>
              <w:rPr>
                <w:sz w:val="18"/>
                <w:szCs w:val="18"/>
              </w:rPr>
            </w:pPr>
            <w:r w:rsidRPr="007044B5">
              <w:rPr>
                <w:sz w:val="18"/>
                <w:szCs w:val="18"/>
              </w:rPr>
              <w:t>Anti-inflammatoires</w:t>
            </w:r>
          </w:p>
        </w:tc>
        <w:tc>
          <w:tcPr>
            <w:tcW w:w="1984" w:type="dxa"/>
            <w:tcBorders>
              <w:left w:val="single" w:sz="4" w:space="0" w:color="DA002F"/>
              <w:right w:val="single" w:sz="4" w:space="0" w:color="DA002F"/>
            </w:tcBorders>
          </w:tcPr>
          <w:p w14:paraId="4F2F4A51" w14:textId="035BD702" w:rsidR="003514DE" w:rsidRPr="007044B5" w:rsidRDefault="003514DE" w:rsidP="0052051F">
            <w:pPr>
              <w:rPr>
                <w:sz w:val="18"/>
                <w:szCs w:val="18"/>
              </w:rPr>
            </w:pPr>
            <w:r w:rsidRPr="007044B5">
              <w:rPr>
                <w:sz w:val="18"/>
                <w:szCs w:val="18"/>
              </w:rPr>
              <w:t>32 782 056</w:t>
            </w:r>
          </w:p>
        </w:tc>
        <w:tc>
          <w:tcPr>
            <w:tcW w:w="1701" w:type="dxa"/>
            <w:tcBorders>
              <w:left w:val="single" w:sz="4" w:space="0" w:color="DA002F"/>
              <w:right w:val="single" w:sz="4" w:space="0" w:color="DA002F"/>
            </w:tcBorders>
          </w:tcPr>
          <w:p w14:paraId="6442DFDD" w14:textId="33067F40" w:rsidR="003514DE" w:rsidRPr="007044B5" w:rsidRDefault="003514DE" w:rsidP="0052051F">
            <w:pPr>
              <w:rPr>
                <w:sz w:val="18"/>
                <w:szCs w:val="18"/>
              </w:rPr>
            </w:pPr>
            <w:r w:rsidRPr="007044B5">
              <w:rPr>
                <w:sz w:val="18"/>
                <w:szCs w:val="18"/>
              </w:rPr>
              <w:t>6 431 125</w:t>
            </w:r>
          </w:p>
        </w:tc>
        <w:tc>
          <w:tcPr>
            <w:tcW w:w="1701" w:type="dxa"/>
            <w:tcBorders>
              <w:left w:val="single" w:sz="4" w:space="0" w:color="DA002F"/>
              <w:right w:val="single" w:sz="4" w:space="0" w:color="DA002F"/>
            </w:tcBorders>
          </w:tcPr>
          <w:p w14:paraId="74930456" w14:textId="00F26443" w:rsidR="003514DE" w:rsidRPr="007044B5" w:rsidRDefault="003514DE" w:rsidP="0052051F">
            <w:pPr>
              <w:rPr>
                <w:sz w:val="18"/>
                <w:szCs w:val="18"/>
              </w:rPr>
            </w:pPr>
            <w:r w:rsidRPr="007044B5">
              <w:rPr>
                <w:sz w:val="18"/>
                <w:szCs w:val="18"/>
              </w:rPr>
              <w:t>3%</w:t>
            </w:r>
          </w:p>
        </w:tc>
        <w:tc>
          <w:tcPr>
            <w:tcW w:w="1513" w:type="dxa"/>
            <w:gridSpan w:val="2"/>
            <w:tcBorders>
              <w:left w:val="single" w:sz="4" w:space="0" w:color="DA002F"/>
            </w:tcBorders>
          </w:tcPr>
          <w:p w14:paraId="471A5C64" w14:textId="1D9373C7" w:rsidR="003514DE" w:rsidRPr="007044B5" w:rsidRDefault="003514DE" w:rsidP="0052051F">
            <w:pPr>
              <w:rPr>
                <w:sz w:val="18"/>
                <w:szCs w:val="18"/>
              </w:rPr>
            </w:pPr>
            <w:r w:rsidRPr="007044B5">
              <w:rPr>
                <w:sz w:val="18"/>
                <w:szCs w:val="18"/>
              </w:rPr>
              <w:t>1%</w:t>
            </w:r>
          </w:p>
        </w:tc>
      </w:tr>
      <w:tr w:rsidR="003514DE" w:rsidRPr="007044B5" w14:paraId="56091C76" w14:textId="77777777" w:rsidTr="00790EED">
        <w:trPr>
          <w:trHeight w:val="340"/>
        </w:trPr>
        <w:tc>
          <w:tcPr>
            <w:tcW w:w="2127" w:type="dxa"/>
            <w:tcBorders>
              <w:right w:val="single" w:sz="4" w:space="0" w:color="DA002F"/>
            </w:tcBorders>
          </w:tcPr>
          <w:p w14:paraId="024A8C0A" w14:textId="138592FA" w:rsidR="003514DE" w:rsidRPr="007044B5" w:rsidRDefault="003514DE" w:rsidP="001D67D1">
            <w:pPr>
              <w:jc w:val="both"/>
              <w:rPr>
                <w:sz w:val="18"/>
                <w:szCs w:val="18"/>
              </w:rPr>
            </w:pPr>
            <w:r w:rsidRPr="007044B5">
              <w:rPr>
                <w:sz w:val="18"/>
                <w:szCs w:val="18"/>
              </w:rPr>
              <w:t>Antipsychotiques</w:t>
            </w:r>
          </w:p>
        </w:tc>
        <w:tc>
          <w:tcPr>
            <w:tcW w:w="1984" w:type="dxa"/>
            <w:tcBorders>
              <w:left w:val="single" w:sz="4" w:space="0" w:color="DA002F"/>
              <w:right w:val="single" w:sz="4" w:space="0" w:color="DA002F"/>
            </w:tcBorders>
          </w:tcPr>
          <w:p w14:paraId="00EB181B" w14:textId="385C37C7" w:rsidR="003514DE" w:rsidRPr="007044B5" w:rsidRDefault="003514DE" w:rsidP="0052051F">
            <w:pPr>
              <w:rPr>
                <w:sz w:val="18"/>
                <w:szCs w:val="18"/>
              </w:rPr>
            </w:pPr>
            <w:r w:rsidRPr="007044B5">
              <w:rPr>
                <w:sz w:val="18"/>
                <w:szCs w:val="18"/>
              </w:rPr>
              <w:t>18 221 262</w:t>
            </w:r>
          </w:p>
        </w:tc>
        <w:tc>
          <w:tcPr>
            <w:tcW w:w="1701" w:type="dxa"/>
            <w:tcBorders>
              <w:left w:val="single" w:sz="4" w:space="0" w:color="DA002F"/>
              <w:right w:val="single" w:sz="4" w:space="0" w:color="DA002F"/>
            </w:tcBorders>
          </w:tcPr>
          <w:p w14:paraId="56086753" w14:textId="625E9919" w:rsidR="003514DE" w:rsidRPr="007044B5" w:rsidRDefault="003514DE" w:rsidP="0052051F">
            <w:pPr>
              <w:rPr>
                <w:sz w:val="18"/>
                <w:szCs w:val="18"/>
              </w:rPr>
            </w:pPr>
            <w:r w:rsidRPr="007044B5">
              <w:rPr>
                <w:sz w:val="18"/>
                <w:szCs w:val="18"/>
              </w:rPr>
              <w:t>2 648 326</w:t>
            </w:r>
          </w:p>
        </w:tc>
        <w:tc>
          <w:tcPr>
            <w:tcW w:w="1701" w:type="dxa"/>
            <w:tcBorders>
              <w:left w:val="single" w:sz="4" w:space="0" w:color="DA002F"/>
              <w:right w:val="single" w:sz="4" w:space="0" w:color="DA002F"/>
            </w:tcBorders>
          </w:tcPr>
          <w:p w14:paraId="1B70CFBD" w14:textId="268EA70F" w:rsidR="003514DE" w:rsidRPr="007044B5" w:rsidRDefault="003514DE" w:rsidP="0052051F">
            <w:pPr>
              <w:rPr>
                <w:sz w:val="18"/>
                <w:szCs w:val="18"/>
              </w:rPr>
            </w:pPr>
            <w:r w:rsidRPr="007044B5">
              <w:rPr>
                <w:sz w:val="18"/>
                <w:szCs w:val="18"/>
              </w:rPr>
              <w:t>2%</w:t>
            </w:r>
          </w:p>
        </w:tc>
        <w:tc>
          <w:tcPr>
            <w:tcW w:w="1513" w:type="dxa"/>
            <w:gridSpan w:val="2"/>
            <w:tcBorders>
              <w:left w:val="single" w:sz="4" w:space="0" w:color="DA002F"/>
            </w:tcBorders>
          </w:tcPr>
          <w:p w14:paraId="51DE3E4E" w14:textId="5CE3E492" w:rsidR="003514DE" w:rsidRPr="007044B5" w:rsidRDefault="003514DE" w:rsidP="0052051F">
            <w:pPr>
              <w:rPr>
                <w:sz w:val="18"/>
                <w:szCs w:val="18"/>
              </w:rPr>
            </w:pPr>
            <w:r w:rsidRPr="007044B5">
              <w:rPr>
                <w:sz w:val="18"/>
                <w:szCs w:val="18"/>
              </w:rPr>
              <w:t>0%</w:t>
            </w:r>
          </w:p>
        </w:tc>
      </w:tr>
      <w:tr w:rsidR="003514DE" w:rsidRPr="007044B5" w14:paraId="0C8645F9" w14:textId="77777777" w:rsidTr="00790EED">
        <w:trPr>
          <w:cnfStyle w:val="000000100000" w:firstRow="0" w:lastRow="0" w:firstColumn="0" w:lastColumn="0" w:oddVBand="0" w:evenVBand="0" w:oddHBand="1" w:evenHBand="0" w:firstRowFirstColumn="0" w:firstRowLastColumn="0" w:lastRowFirstColumn="0" w:lastRowLastColumn="0"/>
          <w:trHeight w:val="340"/>
        </w:trPr>
        <w:tc>
          <w:tcPr>
            <w:tcW w:w="2127" w:type="dxa"/>
            <w:tcBorders>
              <w:right w:val="single" w:sz="4" w:space="0" w:color="DA002F"/>
            </w:tcBorders>
          </w:tcPr>
          <w:p w14:paraId="3695CAD0" w14:textId="482D583D" w:rsidR="003514DE" w:rsidRPr="007044B5" w:rsidRDefault="003514DE" w:rsidP="001D67D1">
            <w:pPr>
              <w:jc w:val="both"/>
              <w:rPr>
                <w:sz w:val="18"/>
                <w:szCs w:val="18"/>
              </w:rPr>
            </w:pPr>
            <w:r w:rsidRPr="007044B5">
              <w:rPr>
                <w:rFonts w:ascii="Calibri" w:hAnsi="Calibri" w:cs="Calibri"/>
                <w:color w:val="000000"/>
                <w:sz w:val="18"/>
                <w:szCs w:val="18"/>
              </w:rPr>
              <w:t>Hypoglycémiants</w:t>
            </w:r>
          </w:p>
        </w:tc>
        <w:tc>
          <w:tcPr>
            <w:tcW w:w="1984" w:type="dxa"/>
            <w:tcBorders>
              <w:left w:val="single" w:sz="4" w:space="0" w:color="DA002F"/>
              <w:right w:val="single" w:sz="4" w:space="0" w:color="DA002F"/>
            </w:tcBorders>
          </w:tcPr>
          <w:p w14:paraId="2B924F47" w14:textId="2A8D3283" w:rsidR="003514DE" w:rsidRPr="007044B5" w:rsidRDefault="003514DE" w:rsidP="0052051F">
            <w:pPr>
              <w:rPr>
                <w:sz w:val="18"/>
                <w:szCs w:val="18"/>
              </w:rPr>
            </w:pPr>
            <w:r w:rsidRPr="007044B5">
              <w:rPr>
                <w:sz w:val="18"/>
                <w:szCs w:val="18"/>
              </w:rPr>
              <w:t>68 915 935</w:t>
            </w:r>
          </w:p>
        </w:tc>
        <w:tc>
          <w:tcPr>
            <w:tcW w:w="1701" w:type="dxa"/>
            <w:tcBorders>
              <w:left w:val="single" w:sz="4" w:space="0" w:color="DA002F"/>
              <w:right w:val="single" w:sz="4" w:space="0" w:color="DA002F"/>
            </w:tcBorders>
          </w:tcPr>
          <w:p w14:paraId="26F815BC" w14:textId="21F9BD49" w:rsidR="003514DE" w:rsidRPr="007044B5" w:rsidRDefault="003514DE" w:rsidP="0052051F">
            <w:pPr>
              <w:rPr>
                <w:sz w:val="18"/>
                <w:szCs w:val="18"/>
              </w:rPr>
            </w:pPr>
            <w:r w:rsidRPr="007044B5">
              <w:rPr>
                <w:sz w:val="18"/>
                <w:szCs w:val="18"/>
              </w:rPr>
              <w:t>40 888 658</w:t>
            </w:r>
          </w:p>
        </w:tc>
        <w:tc>
          <w:tcPr>
            <w:tcW w:w="1701" w:type="dxa"/>
            <w:tcBorders>
              <w:left w:val="single" w:sz="4" w:space="0" w:color="DA002F"/>
              <w:right w:val="single" w:sz="4" w:space="0" w:color="DA002F"/>
            </w:tcBorders>
          </w:tcPr>
          <w:p w14:paraId="166696F4" w14:textId="2614A623" w:rsidR="003514DE" w:rsidRPr="007044B5" w:rsidRDefault="003514DE" w:rsidP="0052051F">
            <w:pPr>
              <w:rPr>
                <w:sz w:val="18"/>
                <w:szCs w:val="18"/>
              </w:rPr>
            </w:pPr>
            <w:r w:rsidRPr="007044B5">
              <w:rPr>
                <w:sz w:val="18"/>
                <w:szCs w:val="18"/>
              </w:rPr>
              <w:t>7%</w:t>
            </w:r>
          </w:p>
        </w:tc>
        <w:tc>
          <w:tcPr>
            <w:tcW w:w="1513" w:type="dxa"/>
            <w:gridSpan w:val="2"/>
            <w:tcBorders>
              <w:left w:val="single" w:sz="4" w:space="0" w:color="DA002F"/>
            </w:tcBorders>
          </w:tcPr>
          <w:p w14:paraId="78B9D751" w14:textId="1B9C6EB4" w:rsidR="003514DE" w:rsidRPr="007044B5" w:rsidRDefault="003514DE" w:rsidP="0052051F">
            <w:pPr>
              <w:rPr>
                <w:sz w:val="18"/>
                <w:szCs w:val="18"/>
              </w:rPr>
            </w:pPr>
            <w:r w:rsidRPr="007044B5">
              <w:rPr>
                <w:sz w:val="18"/>
                <w:szCs w:val="18"/>
              </w:rPr>
              <w:t>7%</w:t>
            </w:r>
          </w:p>
        </w:tc>
      </w:tr>
      <w:tr w:rsidR="003514DE" w:rsidRPr="007044B5" w14:paraId="33CEC803" w14:textId="77777777" w:rsidTr="00790EED">
        <w:trPr>
          <w:trHeight w:val="340"/>
        </w:trPr>
        <w:tc>
          <w:tcPr>
            <w:tcW w:w="2127" w:type="dxa"/>
            <w:tcBorders>
              <w:right w:val="single" w:sz="4" w:space="0" w:color="DA002F"/>
            </w:tcBorders>
          </w:tcPr>
          <w:p w14:paraId="16372B90" w14:textId="4D5E77BD" w:rsidR="003514DE" w:rsidRPr="007044B5" w:rsidRDefault="003514DE" w:rsidP="001D67D1">
            <w:pPr>
              <w:jc w:val="both"/>
              <w:rPr>
                <w:sz w:val="18"/>
                <w:szCs w:val="18"/>
              </w:rPr>
            </w:pPr>
            <w:r w:rsidRPr="007044B5">
              <w:rPr>
                <w:sz w:val="18"/>
                <w:szCs w:val="18"/>
              </w:rPr>
              <w:t>Inhibiteurs de la pompe à protons</w:t>
            </w:r>
          </w:p>
        </w:tc>
        <w:tc>
          <w:tcPr>
            <w:tcW w:w="1984" w:type="dxa"/>
            <w:tcBorders>
              <w:left w:val="single" w:sz="4" w:space="0" w:color="DA002F"/>
              <w:right w:val="single" w:sz="4" w:space="0" w:color="DA002F"/>
            </w:tcBorders>
          </w:tcPr>
          <w:p w14:paraId="5D8EFF70" w14:textId="39F5A109" w:rsidR="003514DE" w:rsidRPr="007044B5" w:rsidRDefault="003514DE" w:rsidP="0052051F">
            <w:pPr>
              <w:rPr>
                <w:sz w:val="18"/>
                <w:szCs w:val="18"/>
              </w:rPr>
            </w:pPr>
            <w:r w:rsidRPr="007044B5">
              <w:rPr>
                <w:sz w:val="18"/>
                <w:szCs w:val="18"/>
              </w:rPr>
              <w:t>90 485 029</w:t>
            </w:r>
          </w:p>
        </w:tc>
        <w:tc>
          <w:tcPr>
            <w:tcW w:w="1701" w:type="dxa"/>
            <w:tcBorders>
              <w:left w:val="single" w:sz="4" w:space="0" w:color="DA002F"/>
              <w:right w:val="single" w:sz="4" w:space="0" w:color="DA002F"/>
            </w:tcBorders>
          </w:tcPr>
          <w:p w14:paraId="51EA5A81" w14:textId="09E972A7" w:rsidR="003514DE" w:rsidRPr="007044B5" w:rsidRDefault="003514DE" w:rsidP="0052051F">
            <w:pPr>
              <w:rPr>
                <w:sz w:val="18"/>
                <w:szCs w:val="18"/>
              </w:rPr>
            </w:pPr>
            <w:r w:rsidRPr="007044B5">
              <w:rPr>
                <w:sz w:val="18"/>
                <w:szCs w:val="18"/>
              </w:rPr>
              <w:t>47 321 032</w:t>
            </w:r>
          </w:p>
        </w:tc>
        <w:tc>
          <w:tcPr>
            <w:tcW w:w="1701" w:type="dxa"/>
            <w:tcBorders>
              <w:left w:val="single" w:sz="4" w:space="0" w:color="DA002F"/>
              <w:right w:val="single" w:sz="4" w:space="0" w:color="DA002F"/>
            </w:tcBorders>
          </w:tcPr>
          <w:p w14:paraId="269EF981" w14:textId="0F76AEC1" w:rsidR="003514DE" w:rsidRPr="007044B5" w:rsidRDefault="003514DE" w:rsidP="0052051F">
            <w:pPr>
              <w:rPr>
                <w:sz w:val="18"/>
                <w:szCs w:val="18"/>
              </w:rPr>
            </w:pPr>
            <w:r w:rsidRPr="007044B5">
              <w:rPr>
                <w:sz w:val="18"/>
                <w:szCs w:val="18"/>
              </w:rPr>
              <w:t>9%</w:t>
            </w:r>
          </w:p>
        </w:tc>
        <w:tc>
          <w:tcPr>
            <w:tcW w:w="1513" w:type="dxa"/>
            <w:gridSpan w:val="2"/>
            <w:tcBorders>
              <w:left w:val="single" w:sz="4" w:space="0" w:color="DA002F"/>
            </w:tcBorders>
          </w:tcPr>
          <w:p w14:paraId="3BD6A042" w14:textId="3B72742D" w:rsidR="003514DE" w:rsidRPr="007044B5" w:rsidRDefault="003514DE" w:rsidP="0052051F">
            <w:pPr>
              <w:rPr>
                <w:sz w:val="18"/>
                <w:szCs w:val="18"/>
              </w:rPr>
            </w:pPr>
            <w:r w:rsidRPr="007044B5">
              <w:rPr>
                <w:sz w:val="18"/>
                <w:szCs w:val="18"/>
              </w:rPr>
              <w:t>8%</w:t>
            </w:r>
          </w:p>
        </w:tc>
      </w:tr>
      <w:tr w:rsidR="003514DE" w:rsidRPr="007044B5" w14:paraId="1E857E9A" w14:textId="77777777" w:rsidTr="00790EED">
        <w:trPr>
          <w:cnfStyle w:val="000000100000" w:firstRow="0" w:lastRow="0" w:firstColumn="0" w:lastColumn="0" w:oddVBand="0" w:evenVBand="0" w:oddHBand="1" w:evenHBand="0" w:firstRowFirstColumn="0" w:firstRowLastColumn="0" w:lastRowFirstColumn="0" w:lastRowLastColumn="0"/>
          <w:trHeight w:val="340"/>
        </w:trPr>
        <w:tc>
          <w:tcPr>
            <w:tcW w:w="2127" w:type="dxa"/>
            <w:tcBorders>
              <w:right w:val="single" w:sz="4" w:space="0" w:color="DA002F"/>
            </w:tcBorders>
          </w:tcPr>
          <w:p w14:paraId="1EDBF23C" w14:textId="5C4463EE" w:rsidR="003514DE" w:rsidRPr="007044B5" w:rsidRDefault="003514DE" w:rsidP="001D67D1">
            <w:pPr>
              <w:jc w:val="both"/>
              <w:rPr>
                <w:sz w:val="18"/>
                <w:szCs w:val="18"/>
              </w:rPr>
            </w:pPr>
            <w:r w:rsidRPr="007044B5">
              <w:rPr>
                <w:sz w:val="18"/>
                <w:szCs w:val="18"/>
              </w:rPr>
              <w:t>Statines</w:t>
            </w:r>
          </w:p>
        </w:tc>
        <w:tc>
          <w:tcPr>
            <w:tcW w:w="1984" w:type="dxa"/>
            <w:tcBorders>
              <w:left w:val="single" w:sz="4" w:space="0" w:color="DA002F"/>
              <w:right w:val="single" w:sz="4" w:space="0" w:color="DA002F"/>
            </w:tcBorders>
          </w:tcPr>
          <w:p w14:paraId="76E8A4C9" w14:textId="010010D1" w:rsidR="003514DE" w:rsidRPr="007044B5" w:rsidRDefault="003514DE" w:rsidP="0052051F">
            <w:pPr>
              <w:rPr>
                <w:sz w:val="18"/>
                <w:szCs w:val="18"/>
              </w:rPr>
            </w:pPr>
            <w:r w:rsidRPr="007044B5">
              <w:rPr>
                <w:sz w:val="18"/>
                <w:szCs w:val="18"/>
              </w:rPr>
              <w:t>87 629 435</w:t>
            </w:r>
          </w:p>
        </w:tc>
        <w:tc>
          <w:tcPr>
            <w:tcW w:w="1701" w:type="dxa"/>
            <w:tcBorders>
              <w:left w:val="single" w:sz="4" w:space="0" w:color="DA002F"/>
              <w:right w:val="single" w:sz="4" w:space="0" w:color="DA002F"/>
            </w:tcBorders>
          </w:tcPr>
          <w:p w14:paraId="5606ADAD" w14:textId="3F564271" w:rsidR="003514DE" w:rsidRPr="007044B5" w:rsidRDefault="003514DE" w:rsidP="0052051F">
            <w:pPr>
              <w:rPr>
                <w:sz w:val="18"/>
                <w:szCs w:val="18"/>
              </w:rPr>
            </w:pPr>
            <w:r w:rsidRPr="007044B5">
              <w:rPr>
                <w:sz w:val="18"/>
                <w:szCs w:val="18"/>
              </w:rPr>
              <w:t>70 455 883</w:t>
            </w:r>
          </w:p>
        </w:tc>
        <w:tc>
          <w:tcPr>
            <w:tcW w:w="1701" w:type="dxa"/>
            <w:tcBorders>
              <w:left w:val="single" w:sz="4" w:space="0" w:color="DA002F"/>
              <w:right w:val="single" w:sz="4" w:space="0" w:color="DA002F"/>
            </w:tcBorders>
          </w:tcPr>
          <w:p w14:paraId="5941AD06" w14:textId="4A3EEB2D" w:rsidR="003514DE" w:rsidRPr="007044B5" w:rsidRDefault="003514DE" w:rsidP="0052051F">
            <w:pPr>
              <w:rPr>
                <w:sz w:val="18"/>
                <w:szCs w:val="18"/>
              </w:rPr>
            </w:pPr>
            <w:r w:rsidRPr="007044B5">
              <w:rPr>
                <w:sz w:val="18"/>
                <w:szCs w:val="18"/>
              </w:rPr>
              <w:t>9%</w:t>
            </w:r>
          </w:p>
        </w:tc>
        <w:tc>
          <w:tcPr>
            <w:tcW w:w="1513" w:type="dxa"/>
            <w:gridSpan w:val="2"/>
            <w:tcBorders>
              <w:left w:val="single" w:sz="4" w:space="0" w:color="DA002F"/>
            </w:tcBorders>
          </w:tcPr>
          <w:p w14:paraId="47979D97" w14:textId="6F7C4907" w:rsidR="003514DE" w:rsidRPr="007044B5" w:rsidRDefault="003514DE" w:rsidP="0052051F">
            <w:pPr>
              <w:rPr>
                <w:sz w:val="18"/>
                <w:szCs w:val="18"/>
              </w:rPr>
            </w:pPr>
            <w:r w:rsidRPr="007044B5">
              <w:rPr>
                <w:sz w:val="18"/>
                <w:szCs w:val="18"/>
              </w:rPr>
              <w:t>11%</w:t>
            </w:r>
          </w:p>
        </w:tc>
      </w:tr>
      <w:tr w:rsidR="003514DE" w:rsidRPr="007044B5" w14:paraId="0318DFA3" w14:textId="77777777" w:rsidTr="00790EED">
        <w:trPr>
          <w:trHeight w:val="340"/>
        </w:trPr>
        <w:tc>
          <w:tcPr>
            <w:tcW w:w="2127" w:type="dxa"/>
            <w:tcBorders>
              <w:right w:val="single" w:sz="4" w:space="0" w:color="DA002F"/>
            </w:tcBorders>
          </w:tcPr>
          <w:p w14:paraId="492C1909" w14:textId="7AF0CC74" w:rsidR="003514DE" w:rsidRPr="007044B5" w:rsidRDefault="003514DE" w:rsidP="001D67D1">
            <w:pPr>
              <w:jc w:val="both"/>
              <w:rPr>
                <w:sz w:val="18"/>
                <w:szCs w:val="18"/>
              </w:rPr>
            </w:pPr>
            <w:r w:rsidRPr="007044B5">
              <w:rPr>
                <w:sz w:val="18"/>
                <w:szCs w:val="18"/>
              </w:rPr>
              <w:t>Autre</w:t>
            </w:r>
          </w:p>
        </w:tc>
        <w:tc>
          <w:tcPr>
            <w:tcW w:w="1984" w:type="dxa"/>
            <w:tcBorders>
              <w:left w:val="single" w:sz="4" w:space="0" w:color="DA002F"/>
              <w:right w:val="single" w:sz="4" w:space="0" w:color="DA002F"/>
            </w:tcBorders>
          </w:tcPr>
          <w:p w14:paraId="3BC94C28" w14:textId="47FF5EBA" w:rsidR="003514DE" w:rsidRPr="007044B5" w:rsidRDefault="003514DE" w:rsidP="0052051F">
            <w:pPr>
              <w:rPr>
                <w:sz w:val="18"/>
                <w:szCs w:val="18"/>
              </w:rPr>
            </w:pPr>
            <w:r w:rsidRPr="007044B5">
              <w:rPr>
                <w:sz w:val="18"/>
                <w:szCs w:val="18"/>
              </w:rPr>
              <w:t>345 060 096</w:t>
            </w:r>
          </w:p>
        </w:tc>
        <w:tc>
          <w:tcPr>
            <w:tcW w:w="1701" w:type="dxa"/>
            <w:tcBorders>
              <w:left w:val="single" w:sz="4" w:space="0" w:color="DA002F"/>
              <w:right w:val="single" w:sz="4" w:space="0" w:color="DA002F"/>
            </w:tcBorders>
          </w:tcPr>
          <w:p w14:paraId="347B64DC" w14:textId="0A57DD28" w:rsidR="003514DE" w:rsidRPr="007044B5" w:rsidRDefault="003514DE" w:rsidP="0052051F">
            <w:pPr>
              <w:rPr>
                <w:sz w:val="18"/>
                <w:szCs w:val="18"/>
              </w:rPr>
            </w:pPr>
            <w:r w:rsidRPr="007044B5">
              <w:rPr>
                <w:sz w:val="18"/>
                <w:szCs w:val="18"/>
              </w:rPr>
              <w:t>153 853 406</w:t>
            </w:r>
          </w:p>
        </w:tc>
        <w:tc>
          <w:tcPr>
            <w:tcW w:w="1701" w:type="dxa"/>
            <w:tcBorders>
              <w:left w:val="single" w:sz="4" w:space="0" w:color="DA002F"/>
              <w:right w:val="single" w:sz="4" w:space="0" w:color="DA002F"/>
            </w:tcBorders>
          </w:tcPr>
          <w:p w14:paraId="7CD92CF3" w14:textId="7B5E793B" w:rsidR="003514DE" w:rsidRPr="007044B5" w:rsidRDefault="003514DE" w:rsidP="0052051F">
            <w:pPr>
              <w:rPr>
                <w:sz w:val="18"/>
                <w:szCs w:val="18"/>
              </w:rPr>
            </w:pPr>
            <w:r w:rsidRPr="007044B5">
              <w:rPr>
                <w:sz w:val="18"/>
                <w:szCs w:val="18"/>
              </w:rPr>
              <w:t>34%</w:t>
            </w:r>
          </w:p>
        </w:tc>
        <w:tc>
          <w:tcPr>
            <w:tcW w:w="1513" w:type="dxa"/>
            <w:gridSpan w:val="2"/>
            <w:tcBorders>
              <w:left w:val="single" w:sz="4" w:space="0" w:color="DA002F"/>
            </w:tcBorders>
          </w:tcPr>
          <w:p w14:paraId="329E6F19" w14:textId="13A2D96A" w:rsidR="003514DE" w:rsidRPr="007044B5" w:rsidRDefault="003514DE" w:rsidP="0052051F">
            <w:pPr>
              <w:rPr>
                <w:sz w:val="18"/>
                <w:szCs w:val="18"/>
              </w:rPr>
            </w:pPr>
            <w:r w:rsidRPr="007044B5">
              <w:rPr>
                <w:sz w:val="18"/>
                <w:szCs w:val="18"/>
              </w:rPr>
              <w:t>25%</w:t>
            </w:r>
          </w:p>
        </w:tc>
      </w:tr>
      <w:tr w:rsidR="003514DE" w:rsidRPr="007044B5" w14:paraId="0BB37C91" w14:textId="77777777" w:rsidTr="00790EED">
        <w:trPr>
          <w:cnfStyle w:val="000000100000" w:firstRow="0" w:lastRow="0" w:firstColumn="0" w:lastColumn="0" w:oddVBand="0" w:evenVBand="0" w:oddHBand="1" w:evenHBand="0" w:firstRowFirstColumn="0" w:firstRowLastColumn="0" w:lastRowFirstColumn="0" w:lastRowLastColumn="0"/>
          <w:trHeight w:val="340"/>
        </w:trPr>
        <w:tc>
          <w:tcPr>
            <w:tcW w:w="2127" w:type="dxa"/>
            <w:tcBorders>
              <w:right w:val="single" w:sz="4" w:space="0" w:color="DA002F"/>
            </w:tcBorders>
          </w:tcPr>
          <w:p w14:paraId="75C6E735" w14:textId="76706956" w:rsidR="003514DE" w:rsidRPr="007044B5" w:rsidRDefault="003514DE" w:rsidP="001D67D1">
            <w:pPr>
              <w:jc w:val="both"/>
              <w:rPr>
                <w:sz w:val="18"/>
                <w:szCs w:val="18"/>
              </w:rPr>
            </w:pPr>
            <w:r w:rsidRPr="007044B5">
              <w:rPr>
                <w:sz w:val="18"/>
                <w:szCs w:val="18"/>
              </w:rPr>
              <w:t>TOTAL</w:t>
            </w:r>
          </w:p>
        </w:tc>
        <w:tc>
          <w:tcPr>
            <w:tcW w:w="1984" w:type="dxa"/>
            <w:tcBorders>
              <w:left w:val="single" w:sz="4" w:space="0" w:color="DA002F"/>
              <w:right w:val="single" w:sz="4" w:space="0" w:color="DA002F"/>
            </w:tcBorders>
          </w:tcPr>
          <w:p w14:paraId="6AA0DAA8" w14:textId="3238089D" w:rsidR="003514DE" w:rsidRPr="007044B5" w:rsidRDefault="003514DE" w:rsidP="0052051F">
            <w:pPr>
              <w:rPr>
                <w:sz w:val="18"/>
                <w:szCs w:val="18"/>
              </w:rPr>
            </w:pPr>
            <w:r w:rsidRPr="007044B5">
              <w:rPr>
                <w:sz w:val="18"/>
                <w:szCs w:val="18"/>
              </w:rPr>
              <w:t>1 016 053 602</w:t>
            </w:r>
          </w:p>
        </w:tc>
        <w:tc>
          <w:tcPr>
            <w:tcW w:w="1701" w:type="dxa"/>
            <w:tcBorders>
              <w:left w:val="single" w:sz="4" w:space="0" w:color="DA002F"/>
              <w:right w:val="single" w:sz="4" w:space="0" w:color="DA002F"/>
            </w:tcBorders>
          </w:tcPr>
          <w:p w14:paraId="37F1495B" w14:textId="170D518A" w:rsidR="003514DE" w:rsidRPr="007044B5" w:rsidRDefault="003514DE" w:rsidP="0052051F">
            <w:pPr>
              <w:rPr>
                <w:sz w:val="18"/>
                <w:szCs w:val="18"/>
              </w:rPr>
            </w:pPr>
            <w:r w:rsidRPr="007044B5">
              <w:rPr>
                <w:sz w:val="18"/>
                <w:szCs w:val="18"/>
              </w:rPr>
              <w:t>615 994 567</w:t>
            </w:r>
          </w:p>
        </w:tc>
        <w:tc>
          <w:tcPr>
            <w:tcW w:w="1701" w:type="dxa"/>
            <w:tcBorders>
              <w:left w:val="single" w:sz="4" w:space="0" w:color="DA002F"/>
              <w:right w:val="single" w:sz="4" w:space="0" w:color="DA002F"/>
            </w:tcBorders>
          </w:tcPr>
          <w:p w14:paraId="3E97F83B" w14:textId="627F61EA" w:rsidR="003514DE" w:rsidRPr="007044B5" w:rsidRDefault="003514DE" w:rsidP="0052051F">
            <w:pPr>
              <w:rPr>
                <w:sz w:val="18"/>
                <w:szCs w:val="18"/>
              </w:rPr>
            </w:pPr>
            <w:r w:rsidRPr="007044B5">
              <w:rPr>
                <w:sz w:val="18"/>
                <w:szCs w:val="18"/>
              </w:rPr>
              <w:t>100%</w:t>
            </w:r>
          </w:p>
        </w:tc>
        <w:tc>
          <w:tcPr>
            <w:tcW w:w="1513" w:type="dxa"/>
            <w:gridSpan w:val="2"/>
            <w:tcBorders>
              <w:left w:val="single" w:sz="4" w:space="0" w:color="DA002F"/>
            </w:tcBorders>
          </w:tcPr>
          <w:p w14:paraId="671AD6E8" w14:textId="596730B1" w:rsidR="003514DE" w:rsidRPr="007044B5" w:rsidRDefault="003514DE" w:rsidP="0052051F">
            <w:pPr>
              <w:rPr>
                <w:sz w:val="18"/>
                <w:szCs w:val="18"/>
              </w:rPr>
            </w:pPr>
            <w:r w:rsidRPr="007044B5">
              <w:rPr>
                <w:sz w:val="18"/>
                <w:szCs w:val="18"/>
              </w:rPr>
              <w:t>100%</w:t>
            </w:r>
          </w:p>
        </w:tc>
      </w:tr>
      <w:tr w:rsidR="00D30AAD" w:rsidRPr="007044B5" w14:paraId="724576A2" w14:textId="77777777" w:rsidTr="001B23A6">
        <w:trPr>
          <w:cnfStyle w:val="010000000000" w:firstRow="0" w:lastRow="1"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569E22" w14:textId="77777777" w:rsidR="00D30AAD" w:rsidRPr="007044B5" w:rsidRDefault="00D30AAD" w:rsidP="001D67D1">
            <w:pPr>
              <w:jc w:val="both"/>
              <w:rPr>
                <w:sz w:val="18"/>
                <w:szCs w:val="18"/>
              </w:rPr>
            </w:pP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FD3D11" w14:textId="77777777" w:rsidR="00D30AAD" w:rsidRPr="007044B5" w:rsidRDefault="00D30AAD" w:rsidP="001D67D1">
            <w:pPr>
              <w:jc w:val="both"/>
              <w:rPr>
                <w:sz w:val="18"/>
                <w:szCs w:val="18"/>
              </w:rPr>
            </w:pP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1C904B" w14:textId="77777777" w:rsidR="00D30AAD" w:rsidRPr="007044B5" w:rsidRDefault="00D30AAD" w:rsidP="001D67D1">
            <w:pPr>
              <w:jc w:val="both"/>
              <w:rPr>
                <w:sz w:val="18"/>
                <w:szCs w:val="18"/>
              </w:rPr>
            </w:pP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D852ED" w14:textId="77777777" w:rsidR="00D30AAD" w:rsidRPr="007044B5" w:rsidRDefault="00D30AAD" w:rsidP="001D67D1">
            <w:pPr>
              <w:jc w:val="both"/>
              <w:rPr>
                <w:sz w:val="18"/>
                <w:szCs w:val="18"/>
              </w:rPr>
            </w:pPr>
          </w:p>
        </w:tc>
        <w:tc>
          <w:tcPr>
            <w:tcW w:w="151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F24B74" w14:textId="77777777" w:rsidR="00D30AAD" w:rsidRPr="007044B5" w:rsidRDefault="00D30AAD" w:rsidP="001D67D1">
            <w:pPr>
              <w:jc w:val="both"/>
              <w:rPr>
                <w:sz w:val="18"/>
                <w:szCs w:val="18"/>
              </w:rPr>
            </w:pPr>
          </w:p>
        </w:tc>
      </w:tr>
    </w:tbl>
    <w:p w14:paraId="6DE5085B" w14:textId="47C41383" w:rsidR="00D30AAD" w:rsidRPr="00365CC3" w:rsidRDefault="003514DE" w:rsidP="001D67D1">
      <w:pPr>
        <w:jc w:val="both"/>
        <w:rPr>
          <w:lang w:val="fr-BE"/>
        </w:rPr>
      </w:pPr>
      <w:r>
        <w:rPr>
          <w:lang w:val="fr-BE"/>
        </w:rPr>
        <w:t xml:space="preserve">Source </w:t>
      </w:r>
      <w:r w:rsidR="00D30AAD" w:rsidRPr="00365CC3">
        <w:rPr>
          <w:lang w:val="fr-BE"/>
        </w:rPr>
        <w:t>: Solidaris</w:t>
      </w:r>
    </w:p>
    <w:p w14:paraId="6D0812EE" w14:textId="77777777" w:rsidR="008E7662" w:rsidRPr="00365CC3" w:rsidRDefault="008E7662" w:rsidP="001D67D1">
      <w:pPr>
        <w:jc w:val="both"/>
        <w:rPr>
          <w:lang w:val="fr-BE"/>
        </w:rPr>
      </w:pPr>
    </w:p>
    <w:p w14:paraId="22F1DF26" w14:textId="1CB18A33" w:rsidR="003514DE" w:rsidRPr="003514DE" w:rsidRDefault="003514DE" w:rsidP="001D67D1">
      <w:pPr>
        <w:pStyle w:val="Titre2"/>
        <w:jc w:val="both"/>
        <w:rPr>
          <w:lang w:val="fr-BE"/>
        </w:rPr>
      </w:pPr>
      <w:bookmarkStart w:id="10" w:name="_Toc126055545"/>
      <w:bookmarkStart w:id="11" w:name="_Toc130195923"/>
      <w:r w:rsidRPr="003514DE">
        <w:rPr>
          <w:lang w:val="fr-BE"/>
        </w:rPr>
        <w:t>Points d'</w:t>
      </w:r>
      <w:r w:rsidR="001B5B2A">
        <w:rPr>
          <w:lang w:val="fr-BE"/>
        </w:rPr>
        <w:t>attention en c</w:t>
      </w:r>
      <w:r w:rsidRPr="003514DE">
        <w:rPr>
          <w:lang w:val="fr-BE"/>
        </w:rPr>
        <w:t>omparaison avec l'étude de 2013</w:t>
      </w:r>
      <w:bookmarkEnd w:id="10"/>
      <w:bookmarkEnd w:id="11"/>
    </w:p>
    <w:p w14:paraId="340A808F" w14:textId="37053AD1" w:rsidR="003514DE" w:rsidRPr="003514DE" w:rsidRDefault="003514DE" w:rsidP="001D67D1">
      <w:pPr>
        <w:spacing w:before="120" w:after="120"/>
        <w:jc w:val="both"/>
        <w:rPr>
          <w:lang w:val="fr-BE"/>
        </w:rPr>
      </w:pPr>
      <w:r w:rsidRPr="003514DE">
        <w:rPr>
          <w:lang w:val="fr-BE"/>
        </w:rPr>
        <w:t xml:space="preserve">Il </w:t>
      </w:r>
      <w:r w:rsidR="000E0882">
        <w:rPr>
          <w:lang w:val="fr-BE"/>
        </w:rPr>
        <w:t xml:space="preserve">est à noter qu’il </w:t>
      </w:r>
      <w:r w:rsidRPr="003514DE">
        <w:rPr>
          <w:lang w:val="fr-BE"/>
        </w:rPr>
        <w:t xml:space="preserve">existe quelques différences </w:t>
      </w:r>
      <w:r w:rsidR="000E0882">
        <w:rPr>
          <w:lang w:val="fr-BE"/>
        </w:rPr>
        <w:t xml:space="preserve">au niveau </w:t>
      </w:r>
      <w:r w:rsidRPr="003514DE">
        <w:rPr>
          <w:lang w:val="fr-BE"/>
        </w:rPr>
        <w:t xml:space="preserve">des données et de </w:t>
      </w:r>
      <w:r w:rsidR="000E0882">
        <w:rPr>
          <w:lang w:val="fr-BE"/>
        </w:rPr>
        <w:t xml:space="preserve">la </w:t>
      </w:r>
      <w:r w:rsidRPr="003514DE">
        <w:rPr>
          <w:lang w:val="fr-BE"/>
        </w:rPr>
        <w:t>méthodologie par rapport à l'étude de 2013 (basée sur les chiffres 2009-2011) :</w:t>
      </w:r>
    </w:p>
    <w:p w14:paraId="11F2B9EE" w14:textId="4E74DD37" w:rsidR="003514DE" w:rsidRPr="003514DE" w:rsidRDefault="003514DE" w:rsidP="001D67D1">
      <w:pPr>
        <w:pStyle w:val="Paragraphedeliste"/>
        <w:numPr>
          <w:ilvl w:val="0"/>
          <w:numId w:val="18"/>
        </w:numPr>
        <w:spacing w:before="120" w:after="120"/>
        <w:contextualSpacing w:val="0"/>
        <w:jc w:val="both"/>
        <w:rPr>
          <w:lang w:val="fr-BE"/>
        </w:rPr>
      </w:pPr>
      <w:r w:rsidRPr="003514DE">
        <w:rPr>
          <w:lang w:val="fr-BE"/>
        </w:rPr>
        <w:t xml:space="preserve">Le groupe </w:t>
      </w:r>
      <w:r w:rsidR="000E0882">
        <w:rPr>
          <w:lang w:val="fr-BE"/>
        </w:rPr>
        <w:t xml:space="preserve">constitué </w:t>
      </w:r>
      <w:r w:rsidRPr="003514DE">
        <w:rPr>
          <w:lang w:val="fr-BE"/>
        </w:rPr>
        <w:t xml:space="preserve">des résidents </w:t>
      </w:r>
      <w:r w:rsidR="000838A1">
        <w:rPr>
          <w:lang w:val="fr-BE"/>
        </w:rPr>
        <w:t xml:space="preserve">entrés pour la première fois </w:t>
      </w:r>
      <w:r w:rsidR="000E0882">
        <w:rPr>
          <w:lang w:val="fr-BE"/>
        </w:rPr>
        <w:t>en maison de repos</w:t>
      </w:r>
      <w:r w:rsidRPr="003514DE">
        <w:rPr>
          <w:lang w:val="fr-BE"/>
        </w:rPr>
        <w:t xml:space="preserve"> </w:t>
      </w:r>
      <w:r w:rsidR="000838A1">
        <w:rPr>
          <w:lang w:val="fr-BE"/>
        </w:rPr>
        <w:t xml:space="preserve">en 2021 </w:t>
      </w:r>
      <w:r w:rsidRPr="003514DE">
        <w:rPr>
          <w:lang w:val="fr-BE"/>
        </w:rPr>
        <w:t>est presque deux fois moins important que dans l'ancienne étude</w:t>
      </w:r>
      <w:r w:rsidR="000838A1">
        <w:rPr>
          <w:lang w:val="fr-BE"/>
        </w:rPr>
        <w:t xml:space="preserve"> </w:t>
      </w:r>
      <w:r w:rsidR="000838A1" w:rsidRPr="003514DE">
        <w:rPr>
          <w:lang w:val="fr-BE"/>
        </w:rPr>
        <w:t>(3</w:t>
      </w:r>
      <w:r w:rsidR="000838A1">
        <w:rPr>
          <w:lang w:val="fr-BE"/>
        </w:rPr>
        <w:t>.</w:t>
      </w:r>
      <w:r w:rsidR="000838A1" w:rsidRPr="003514DE">
        <w:rPr>
          <w:lang w:val="fr-BE"/>
        </w:rPr>
        <w:t xml:space="preserve">747 </w:t>
      </w:r>
      <w:r w:rsidR="000838A1">
        <w:rPr>
          <w:lang w:val="fr-BE"/>
        </w:rPr>
        <w:t xml:space="preserve">affiliés </w:t>
      </w:r>
      <w:r w:rsidR="000838A1" w:rsidRPr="003514DE">
        <w:rPr>
          <w:lang w:val="fr-BE"/>
        </w:rPr>
        <w:t>v</w:t>
      </w:r>
      <w:r w:rsidR="000838A1">
        <w:rPr>
          <w:lang w:val="fr-BE"/>
        </w:rPr>
        <w:t>ersus</w:t>
      </w:r>
      <w:r w:rsidR="000838A1" w:rsidRPr="003514DE">
        <w:rPr>
          <w:lang w:val="fr-BE"/>
        </w:rPr>
        <w:t xml:space="preserve"> 6</w:t>
      </w:r>
      <w:r w:rsidR="000838A1">
        <w:rPr>
          <w:lang w:val="fr-BE"/>
        </w:rPr>
        <w:t>.</w:t>
      </w:r>
      <w:r w:rsidR="000838A1" w:rsidRPr="003514DE">
        <w:rPr>
          <w:lang w:val="fr-BE"/>
        </w:rPr>
        <w:t>943</w:t>
      </w:r>
      <w:r w:rsidR="000838A1">
        <w:rPr>
          <w:lang w:val="fr-BE"/>
        </w:rPr>
        <w:t xml:space="preserve"> affiliés</w:t>
      </w:r>
      <w:r w:rsidR="000838A1" w:rsidRPr="003514DE">
        <w:rPr>
          <w:lang w:val="fr-BE"/>
        </w:rPr>
        <w:t>)</w:t>
      </w:r>
      <w:r w:rsidRPr="003514DE">
        <w:rPr>
          <w:lang w:val="fr-BE"/>
        </w:rPr>
        <w:t xml:space="preserve">, car ici </w:t>
      </w:r>
      <w:r w:rsidR="000838A1">
        <w:rPr>
          <w:lang w:val="fr-BE"/>
        </w:rPr>
        <w:t xml:space="preserve">la période considérée pour analyser les entrées en maison de repos est le premier semestre 2021 </w:t>
      </w:r>
      <w:r w:rsidRPr="003514DE">
        <w:rPr>
          <w:lang w:val="fr-BE"/>
        </w:rPr>
        <w:t>alors qu</w:t>
      </w:r>
      <w:r w:rsidR="000838A1">
        <w:rPr>
          <w:lang w:val="fr-BE"/>
        </w:rPr>
        <w:t>e c’é</w:t>
      </w:r>
      <w:r w:rsidRPr="003514DE">
        <w:rPr>
          <w:lang w:val="fr-BE"/>
        </w:rPr>
        <w:t xml:space="preserve">tait pendant une année complète </w:t>
      </w:r>
      <w:r w:rsidR="000838A1">
        <w:rPr>
          <w:lang w:val="fr-BE"/>
        </w:rPr>
        <w:t xml:space="preserve">dans l’étude précédente </w:t>
      </w:r>
      <w:r w:rsidRPr="003514DE">
        <w:rPr>
          <w:lang w:val="fr-BE"/>
        </w:rPr>
        <w:t>(2010).</w:t>
      </w:r>
      <w:r w:rsidR="000838A1">
        <w:rPr>
          <w:lang w:val="fr-BE"/>
        </w:rPr>
        <w:t xml:space="preserve"> Ceci en raison des données disponibles au moment de l’étude. </w:t>
      </w:r>
    </w:p>
    <w:p w14:paraId="27D399FB" w14:textId="18BEAF63" w:rsidR="003514DE" w:rsidRPr="00086003" w:rsidRDefault="003514DE" w:rsidP="001D67D1">
      <w:pPr>
        <w:pStyle w:val="Paragraphedeliste"/>
        <w:numPr>
          <w:ilvl w:val="0"/>
          <w:numId w:val="18"/>
        </w:numPr>
        <w:spacing w:before="120" w:after="120"/>
        <w:contextualSpacing w:val="0"/>
        <w:jc w:val="both"/>
        <w:rPr>
          <w:lang w:val="fr-BE"/>
        </w:rPr>
      </w:pPr>
      <w:r w:rsidRPr="00086003">
        <w:rPr>
          <w:lang w:val="fr-BE"/>
        </w:rPr>
        <w:t xml:space="preserve">L'étude de 2013 </w:t>
      </w:r>
      <w:r w:rsidR="00777201" w:rsidRPr="00086003">
        <w:rPr>
          <w:lang w:val="fr-BE"/>
        </w:rPr>
        <w:t>intégrait également les maisons de repos situées à</w:t>
      </w:r>
      <w:r w:rsidRPr="00086003">
        <w:rPr>
          <w:lang w:val="fr-BE"/>
        </w:rPr>
        <w:t xml:space="preserve"> Bruxelles et des cantons de l'Est. Ce n'est pas (plus) le cas ici</w:t>
      </w:r>
      <w:r w:rsidR="00086003" w:rsidRPr="00086003">
        <w:rPr>
          <w:lang w:val="fr-BE"/>
        </w:rPr>
        <w:t xml:space="preserve"> pour des raisons de disponibilité des données</w:t>
      </w:r>
      <w:r w:rsidRPr="00086003">
        <w:rPr>
          <w:lang w:val="fr-BE"/>
        </w:rPr>
        <w:t xml:space="preserve">. </w:t>
      </w:r>
      <w:r w:rsidR="00086003" w:rsidRPr="00086003">
        <w:rPr>
          <w:lang w:val="fr-BE"/>
        </w:rPr>
        <w:t xml:space="preserve">Ceci a cependant un impact relativement limité dans la mesure où le </w:t>
      </w:r>
      <w:r w:rsidRPr="00086003">
        <w:rPr>
          <w:lang w:val="fr-BE"/>
        </w:rPr>
        <w:t xml:space="preserve">nombre de lits de soins de longue durée dans les </w:t>
      </w:r>
      <w:r w:rsidR="00086003">
        <w:rPr>
          <w:lang w:val="fr-BE"/>
        </w:rPr>
        <w:t>maisons de repos à</w:t>
      </w:r>
      <w:r w:rsidRPr="00086003">
        <w:rPr>
          <w:lang w:val="fr-BE"/>
        </w:rPr>
        <w:t xml:space="preserve"> Bruxelles </w:t>
      </w:r>
      <w:r w:rsidR="00086003">
        <w:rPr>
          <w:lang w:val="fr-BE"/>
        </w:rPr>
        <w:t>représente environ</w:t>
      </w:r>
      <w:r w:rsidRPr="00086003">
        <w:rPr>
          <w:lang w:val="fr-BE"/>
        </w:rPr>
        <w:t xml:space="preserve"> 11% du nombre total de lits en Belgique (situation en 2018)</w:t>
      </w:r>
      <w:r>
        <w:rPr>
          <w:rStyle w:val="Appelnotedebasdep"/>
        </w:rPr>
        <w:footnoteReference w:id="19"/>
      </w:r>
      <w:r w:rsidR="00F53C09">
        <w:rPr>
          <w:lang w:val="fr-BE"/>
        </w:rPr>
        <w:t xml:space="preserve"> et que la</w:t>
      </w:r>
      <w:r w:rsidR="00086003">
        <w:rPr>
          <w:lang w:val="fr-BE"/>
        </w:rPr>
        <w:t xml:space="preserve"> C</w:t>
      </w:r>
      <w:r w:rsidRPr="00086003">
        <w:rPr>
          <w:lang w:val="fr-BE"/>
        </w:rPr>
        <w:t>ommunauté germanophone</w:t>
      </w:r>
      <w:r w:rsidR="00F53C09">
        <w:rPr>
          <w:lang w:val="fr-BE"/>
        </w:rPr>
        <w:t xml:space="preserve"> compte </w:t>
      </w:r>
      <w:r w:rsidRPr="00086003">
        <w:rPr>
          <w:lang w:val="fr-BE"/>
        </w:rPr>
        <w:t xml:space="preserve">9 </w:t>
      </w:r>
      <w:r w:rsidR="00086003">
        <w:rPr>
          <w:lang w:val="fr-BE"/>
        </w:rPr>
        <w:t xml:space="preserve">maisons de repos </w:t>
      </w:r>
      <w:r w:rsidRPr="00086003">
        <w:rPr>
          <w:lang w:val="fr-BE"/>
        </w:rPr>
        <w:t>(situation en 2021)</w:t>
      </w:r>
      <w:bookmarkStart w:id="12" w:name="_Ref122100037"/>
      <w:r>
        <w:rPr>
          <w:rStyle w:val="Appelnotedebasdep"/>
        </w:rPr>
        <w:footnoteReference w:id="20"/>
      </w:r>
      <w:bookmarkEnd w:id="12"/>
      <w:r w:rsidR="00086003" w:rsidRPr="00086003">
        <w:rPr>
          <w:lang w:val="fr-BE"/>
        </w:rPr>
        <w:t>.</w:t>
      </w:r>
    </w:p>
    <w:p w14:paraId="7BC706B3" w14:textId="43847EF5" w:rsidR="003514DE" w:rsidRPr="003514DE" w:rsidRDefault="003514DE" w:rsidP="001D67D1">
      <w:pPr>
        <w:pStyle w:val="Paragraphedeliste"/>
        <w:numPr>
          <w:ilvl w:val="0"/>
          <w:numId w:val="18"/>
        </w:numPr>
        <w:spacing w:before="120" w:after="120"/>
        <w:contextualSpacing w:val="0"/>
        <w:jc w:val="both"/>
        <w:rPr>
          <w:lang w:val="fr-BE"/>
        </w:rPr>
      </w:pPr>
      <w:r w:rsidRPr="003514DE">
        <w:rPr>
          <w:lang w:val="fr-BE"/>
        </w:rPr>
        <w:lastRenderedPageBreak/>
        <w:t xml:space="preserve">Les </w:t>
      </w:r>
      <w:r w:rsidR="00F53C09">
        <w:rPr>
          <w:lang w:val="fr-BE"/>
        </w:rPr>
        <w:t>résidents entrés en première fois en maison de repos en 2021 ont été sélectionnés au courant du p</w:t>
      </w:r>
      <w:r w:rsidRPr="003514DE">
        <w:rPr>
          <w:lang w:val="fr-BE"/>
        </w:rPr>
        <w:t>remier semestre 2021, c'est-à-dire au milieu de la troisième vague</w:t>
      </w:r>
      <w:r w:rsidR="00F53C09">
        <w:rPr>
          <w:lang w:val="fr-BE"/>
        </w:rPr>
        <w:t xml:space="preserve"> liée au</w:t>
      </w:r>
      <w:r w:rsidRPr="003514DE">
        <w:rPr>
          <w:lang w:val="fr-BE"/>
        </w:rPr>
        <w:t xml:space="preserve"> corona</w:t>
      </w:r>
      <w:r w:rsidR="00F53C09">
        <w:rPr>
          <w:lang w:val="fr-BE"/>
        </w:rPr>
        <w:t>virus</w:t>
      </w:r>
      <w:r w:rsidRPr="003514DE">
        <w:rPr>
          <w:lang w:val="fr-BE"/>
        </w:rPr>
        <w:t xml:space="preserve"> (25 février-27 juin 2021). </w:t>
      </w:r>
      <w:r w:rsidR="00346166">
        <w:rPr>
          <w:lang w:val="fr-BE"/>
        </w:rPr>
        <w:t>Nous pouvons supposé que l’impact e</w:t>
      </w:r>
      <w:r w:rsidRPr="003514DE">
        <w:rPr>
          <w:lang w:val="fr-BE"/>
        </w:rPr>
        <w:t xml:space="preserve">n termes de </w:t>
      </w:r>
      <w:r w:rsidR="00346166">
        <w:rPr>
          <w:lang w:val="fr-BE"/>
        </w:rPr>
        <w:t>sur</w:t>
      </w:r>
      <w:r w:rsidRPr="003514DE">
        <w:rPr>
          <w:lang w:val="fr-BE"/>
        </w:rPr>
        <w:t>mortalité</w:t>
      </w:r>
      <w:r w:rsidR="00346166">
        <w:rPr>
          <w:lang w:val="fr-BE"/>
        </w:rPr>
        <w:t xml:space="preserve"> liée au Covid-19 est donc relativement limité étant donné que</w:t>
      </w:r>
      <w:r w:rsidRPr="003514DE">
        <w:rPr>
          <w:lang w:val="fr-BE"/>
        </w:rPr>
        <w:t xml:space="preserve"> la grande majorité des décès dans les </w:t>
      </w:r>
      <w:r w:rsidR="00346166">
        <w:rPr>
          <w:lang w:val="fr-BE"/>
        </w:rPr>
        <w:t>maisons de repos</w:t>
      </w:r>
      <w:r w:rsidRPr="003514DE">
        <w:rPr>
          <w:lang w:val="fr-BE"/>
        </w:rPr>
        <w:t xml:space="preserve"> se sont</w:t>
      </w:r>
      <w:r w:rsidR="00346166">
        <w:rPr>
          <w:lang w:val="fr-BE"/>
        </w:rPr>
        <w:t xml:space="preserve"> surtout</w:t>
      </w:r>
      <w:r w:rsidRPr="003514DE">
        <w:rPr>
          <w:lang w:val="fr-BE"/>
        </w:rPr>
        <w:t xml:space="preserve"> produits au cours des première et deuxième vagues</w:t>
      </w:r>
      <w:r w:rsidRPr="00D72B7C">
        <w:rPr>
          <w:highlight w:val="yellow"/>
          <w:vertAlign w:val="superscript"/>
        </w:rPr>
        <w:fldChar w:fldCharType="begin"/>
      </w:r>
      <w:r w:rsidRPr="003514DE">
        <w:rPr>
          <w:vertAlign w:val="superscript"/>
          <w:lang w:val="fr-BE"/>
        </w:rPr>
        <w:instrText xml:space="preserve"> NOTEREF _Ref122100037 \h </w:instrText>
      </w:r>
      <w:r w:rsidRPr="003514DE">
        <w:rPr>
          <w:highlight w:val="yellow"/>
          <w:vertAlign w:val="superscript"/>
          <w:lang w:val="fr-BE"/>
        </w:rPr>
        <w:instrText xml:space="preserve"> \* MERGEFORMAT </w:instrText>
      </w:r>
      <w:r w:rsidRPr="00D72B7C">
        <w:rPr>
          <w:highlight w:val="yellow"/>
          <w:vertAlign w:val="superscript"/>
        </w:rPr>
      </w:r>
      <w:r w:rsidRPr="00D72B7C">
        <w:rPr>
          <w:highlight w:val="yellow"/>
          <w:vertAlign w:val="superscript"/>
        </w:rPr>
        <w:fldChar w:fldCharType="separate"/>
      </w:r>
      <w:r w:rsidR="008177C1">
        <w:rPr>
          <w:vertAlign w:val="superscript"/>
          <w:lang w:val="fr-BE"/>
        </w:rPr>
        <w:t>18</w:t>
      </w:r>
      <w:r w:rsidRPr="00D72B7C">
        <w:rPr>
          <w:highlight w:val="yellow"/>
          <w:vertAlign w:val="superscript"/>
        </w:rPr>
        <w:fldChar w:fldCharType="end"/>
      </w:r>
      <w:r w:rsidRPr="003514DE">
        <w:rPr>
          <w:lang w:val="fr-BE"/>
        </w:rPr>
        <w:t xml:space="preserve">. De plus, </w:t>
      </w:r>
      <w:r w:rsidR="00346166">
        <w:rPr>
          <w:lang w:val="fr-BE"/>
        </w:rPr>
        <w:t xml:space="preserve">d’un point de vue méthodologique, nous </w:t>
      </w:r>
      <w:r w:rsidRPr="003514DE">
        <w:rPr>
          <w:lang w:val="fr-BE"/>
        </w:rPr>
        <w:t xml:space="preserve">avons </w:t>
      </w:r>
      <w:r w:rsidR="00346166">
        <w:rPr>
          <w:lang w:val="fr-BE"/>
        </w:rPr>
        <w:t xml:space="preserve">uniquement sélectionné </w:t>
      </w:r>
      <w:r w:rsidRPr="003514DE">
        <w:rPr>
          <w:lang w:val="fr-BE"/>
        </w:rPr>
        <w:t xml:space="preserve">les </w:t>
      </w:r>
      <w:r w:rsidR="00346166">
        <w:rPr>
          <w:lang w:val="fr-BE"/>
        </w:rPr>
        <w:t>affiliés</w:t>
      </w:r>
      <w:r w:rsidRPr="003514DE">
        <w:rPr>
          <w:lang w:val="fr-BE"/>
        </w:rPr>
        <w:t xml:space="preserve"> qui ne sont pas décédés en 2020 ou 2021. Dans le même ordre d'idée, nous pouvons mentionner que l'</w:t>
      </w:r>
      <w:r w:rsidR="00346166">
        <w:rPr>
          <w:lang w:val="fr-BE"/>
        </w:rPr>
        <w:t>observance au traitement avec des</w:t>
      </w:r>
      <w:r w:rsidRPr="003514DE">
        <w:rPr>
          <w:lang w:val="fr-BE"/>
        </w:rPr>
        <w:t xml:space="preserve"> médicaments contre la tension artérielle, </w:t>
      </w:r>
      <w:r w:rsidR="00346166">
        <w:rPr>
          <w:lang w:val="fr-BE"/>
        </w:rPr>
        <w:t>le diabète et</w:t>
      </w:r>
      <w:r w:rsidRPr="003514DE">
        <w:rPr>
          <w:lang w:val="fr-BE"/>
        </w:rPr>
        <w:t xml:space="preserve"> les maladies respiratoires est restée stable en 2020</w:t>
      </w:r>
      <w:r>
        <w:rPr>
          <w:rStyle w:val="Appelnotedebasdep"/>
        </w:rPr>
        <w:footnoteReference w:id="21"/>
      </w:r>
      <w:r w:rsidRPr="003514DE">
        <w:rPr>
          <w:lang w:val="fr-BE"/>
        </w:rPr>
        <w:t>.</w:t>
      </w:r>
    </w:p>
    <w:p w14:paraId="597661B9" w14:textId="2D8FE148" w:rsidR="00496276" w:rsidRPr="00365CC3" w:rsidRDefault="00496276" w:rsidP="001D67D1">
      <w:pPr>
        <w:jc w:val="both"/>
        <w:rPr>
          <w:lang w:val="fr-BE"/>
        </w:rPr>
      </w:pPr>
    </w:p>
    <w:p w14:paraId="03C2504A" w14:textId="79B31EDA" w:rsidR="00496276" w:rsidRPr="00346166" w:rsidRDefault="00346166" w:rsidP="001D67D1">
      <w:pPr>
        <w:pStyle w:val="Titre1"/>
        <w:jc w:val="both"/>
        <w:rPr>
          <w:lang w:val="fr-BE"/>
        </w:rPr>
      </w:pPr>
      <w:bookmarkStart w:id="13" w:name="_Toc130195924"/>
      <w:r w:rsidRPr="00346166">
        <w:rPr>
          <w:lang w:val="fr-BE"/>
        </w:rPr>
        <w:t>Analyse l</w:t>
      </w:r>
      <w:r w:rsidR="00992CE6" w:rsidRPr="00346166">
        <w:rPr>
          <w:lang w:val="fr-BE"/>
        </w:rPr>
        <w:t xml:space="preserve">ongitudinale </w:t>
      </w:r>
      <w:r w:rsidRPr="00346166">
        <w:rPr>
          <w:lang w:val="fr-BE"/>
        </w:rPr>
        <w:t>de la consommation de médicaments en maison de repos</w:t>
      </w:r>
      <w:bookmarkEnd w:id="13"/>
    </w:p>
    <w:p w14:paraId="0D3D851D" w14:textId="35A53C54" w:rsidR="00B9077C" w:rsidRPr="00346166" w:rsidRDefault="00B9077C" w:rsidP="001D67D1">
      <w:pPr>
        <w:jc w:val="both"/>
        <w:rPr>
          <w:lang w:val="fr-BE"/>
        </w:rPr>
      </w:pPr>
    </w:p>
    <w:p w14:paraId="1F082C66" w14:textId="7407B198" w:rsidR="00704EAE" w:rsidRPr="007044B5" w:rsidRDefault="007044B5" w:rsidP="001D67D1">
      <w:pPr>
        <w:jc w:val="both"/>
        <w:rPr>
          <w:szCs w:val="20"/>
          <w:lang w:val="fr-BE"/>
        </w:rPr>
      </w:pPr>
      <w:r w:rsidRPr="007044B5">
        <w:rPr>
          <w:lang w:val="fr-BE"/>
        </w:rPr>
        <w:t>Dans cette section, nous présentons les résultats issus de l’analyse longitudinale en matière de prescription de médicaments remboursables des personnes âgées, avec un focus particulier sur les dix molécules sélectionnées précédemment, afin d’isoler l’impact de l’</w:t>
      </w:r>
      <w:r>
        <w:rPr>
          <w:lang w:val="fr-BE"/>
        </w:rPr>
        <w:t>institutionnalisation (Tableau 2</w:t>
      </w:r>
      <w:r w:rsidRPr="007044B5">
        <w:rPr>
          <w:lang w:val="fr-BE"/>
        </w:rPr>
        <w:t xml:space="preserve">). Nous analysons ainsi la consommation de médicaments six mois avant et six mois après l’entrée en maison de repos pour une cohorte d’affiliés de 70 ans et plus et évaluons changements de médication induits par une entrée en maison de </w:t>
      </w:r>
      <w:r w:rsidRPr="007044B5">
        <w:rPr>
          <w:szCs w:val="20"/>
          <w:lang w:val="fr-BE"/>
        </w:rPr>
        <w:t>repos</w:t>
      </w:r>
      <w:r w:rsidRPr="007044B5">
        <w:rPr>
          <w:rStyle w:val="Appelnotedebasdep"/>
          <w:rFonts w:cs="Arial"/>
          <w:szCs w:val="20"/>
        </w:rPr>
        <w:footnoteReference w:id="22"/>
      </w:r>
      <w:r w:rsidR="00704EAE" w:rsidRPr="007044B5">
        <w:rPr>
          <w:szCs w:val="20"/>
          <w:lang w:val="fr-BE"/>
        </w:rPr>
        <w:t>.</w:t>
      </w:r>
    </w:p>
    <w:p w14:paraId="29A02CE8" w14:textId="0DE999BA" w:rsidR="007044B5" w:rsidRPr="007044B5" w:rsidRDefault="007044B5" w:rsidP="00E07250">
      <w:pPr>
        <w:pStyle w:val="Titre2"/>
        <w:spacing w:before="240"/>
        <w:jc w:val="both"/>
        <w:rPr>
          <w:lang w:val="fr-BE"/>
        </w:rPr>
      </w:pPr>
      <w:bookmarkStart w:id="14" w:name="_Toc130195925"/>
      <w:r w:rsidRPr="007044B5">
        <w:rPr>
          <w:lang w:val="fr-BE"/>
        </w:rPr>
        <w:t>Consommation globale de médicaments avant et après l’entrée en maison de repos</w:t>
      </w:r>
      <w:bookmarkEnd w:id="14"/>
    </w:p>
    <w:p w14:paraId="2F9F2F5D" w14:textId="26DD1733" w:rsidR="007E6DFB" w:rsidRDefault="007044B5" w:rsidP="001D67D1">
      <w:pPr>
        <w:spacing w:after="0"/>
        <w:jc w:val="both"/>
        <w:rPr>
          <w:lang w:val="fr-BE"/>
        </w:rPr>
      </w:pPr>
      <w:r w:rsidRPr="000F5E8A">
        <w:rPr>
          <w:rFonts w:cs="Arial"/>
          <w:szCs w:val="20"/>
          <w:lang w:val="fr-BE"/>
        </w:rPr>
        <w:t xml:space="preserve">En prenant en compte l’ensemble des molécules, le nombre de DDD délivrées passe </w:t>
      </w:r>
      <w:r w:rsidR="000F5E8A" w:rsidRPr="007044B5">
        <w:rPr>
          <w:lang w:val="fr-BE"/>
        </w:rPr>
        <w:t xml:space="preserve">d'environ 3,5 millions de DDD (moyenne de 943 DDD par </w:t>
      </w:r>
      <w:r w:rsidR="000F5E8A">
        <w:rPr>
          <w:lang w:val="fr-BE"/>
        </w:rPr>
        <w:t>affilié</w:t>
      </w:r>
      <w:r w:rsidR="000F5E8A" w:rsidRPr="007044B5">
        <w:rPr>
          <w:lang w:val="fr-BE"/>
        </w:rPr>
        <w:t xml:space="preserve">) </w:t>
      </w:r>
      <w:r w:rsidRPr="000F5E8A">
        <w:rPr>
          <w:rFonts w:cs="Arial"/>
          <w:szCs w:val="20"/>
          <w:lang w:val="fr-BE"/>
        </w:rPr>
        <w:t xml:space="preserve">à </w:t>
      </w:r>
      <w:r w:rsidR="00300338" w:rsidRPr="007044B5">
        <w:rPr>
          <w:lang w:val="fr-BE"/>
        </w:rPr>
        <w:t>un peu moins de 2,9 millions de DDD (moyenne de 772 DDD par</w:t>
      </w:r>
      <w:r w:rsidR="00300338" w:rsidRPr="000F5E8A">
        <w:rPr>
          <w:rFonts w:cs="Arial"/>
          <w:szCs w:val="20"/>
          <w:lang w:val="fr-BE"/>
        </w:rPr>
        <w:t xml:space="preserve"> </w:t>
      </w:r>
      <w:r w:rsidR="00300338">
        <w:rPr>
          <w:rFonts w:cs="Arial"/>
          <w:szCs w:val="20"/>
          <w:lang w:val="fr-BE"/>
        </w:rPr>
        <w:t xml:space="preserve">affilié) </w:t>
      </w:r>
      <w:r w:rsidRPr="000F5E8A">
        <w:rPr>
          <w:rFonts w:cs="Arial"/>
          <w:szCs w:val="20"/>
          <w:lang w:val="fr-BE"/>
        </w:rPr>
        <w:t xml:space="preserve">suite à l’entrée en maison de repos (Tableau </w:t>
      </w:r>
      <w:r w:rsidR="000F5E8A">
        <w:rPr>
          <w:rFonts w:cs="Arial"/>
          <w:szCs w:val="20"/>
          <w:lang w:val="fr-BE"/>
        </w:rPr>
        <w:t>4</w:t>
      </w:r>
      <w:r w:rsidRPr="000F5E8A">
        <w:rPr>
          <w:rFonts w:cs="Arial"/>
          <w:szCs w:val="20"/>
          <w:lang w:val="fr-BE"/>
        </w:rPr>
        <w:t>). La consommation diminue ainsi de 18%</w:t>
      </w:r>
      <w:r>
        <w:rPr>
          <w:rStyle w:val="Appelnotedebasdep"/>
        </w:rPr>
        <w:footnoteReference w:id="23"/>
      </w:r>
      <w:r w:rsidRPr="007044B5">
        <w:rPr>
          <w:lang w:val="fr-BE"/>
        </w:rPr>
        <w:t xml:space="preserve">. </w:t>
      </w:r>
    </w:p>
    <w:p w14:paraId="6473C530" w14:textId="77777777" w:rsidR="007E6DFB" w:rsidRDefault="007E6DFB" w:rsidP="001D67D1">
      <w:pPr>
        <w:spacing w:after="0"/>
        <w:jc w:val="both"/>
        <w:rPr>
          <w:lang w:val="fr-BE"/>
        </w:rPr>
      </w:pPr>
    </w:p>
    <w:p w14:paraId="66F62635" w14:textId="3DAF90C1" w:rsidR="003D443F" w:rsidRPr="00AA7F32" w:rsidRDefault="007044B5" w:rsidP="001D67D1">
      <w:pPr>
        <w:spacing w:after="0"/>
        <w:jc w:val="both"/>
        <w:rPr>
          <w:lang w:val="fr-BE"/>
        </w:rPr>
      </w:pPr>
      <w:r w:rsidRPr="007044B5">
        <w:rPr>
          <w:lang w:val="fr-BE"/>
        </w:rPr>
        <w:t>Dans l'étude de 2013, on</w:t>
      </w:r>
      <w:r w:rsidR="007E6DFB">
        <w:rPr>
          <w:lang w:val="fr-BE"/>
        </w:rPr>
        <w:t xml:space="preserve"> constatait </w:t>
      </w:r>
      <w:r w:rsidRPr="007044B5">
        <w:rPr>
          <w:lang w:val="fr-BE"/>
        </w:rPr>
        <w:t xml:space="preserve">également une </w:t>
      </w:r>
      <w:r w:rsidR="008D449F">
        <w:rPr>
          <w:lang w:val="fr-BE"/>
        </w:rPr>
        <w:t xml:space="preserve">légère </w:t>
      </w:r>
      <w:r w:rsidRPr="007044B5">
        <w:rPr>
          <w:lang w:val="fr-BE"/>
        </w:rPr>
        <w:t xml:space="preserve">diminution de la consommation de médicaments après </w:t>
      </w:r>
      <w:r w:rsidR="007E6DFB" w:rsidRPr="00AA7F32">
        <w:rPr>
          <w:lang w:val="fr-BE"/>
        </w:rPr>
        <w:t>l’entrée en maison de repos</w:t>
      </w:r>
      <w:r w:rsidRPr="00AA7F32">
        <w:rPr>
          <w:lang w:val="fr-BE"/>
        </w:rPr>
        <w:t xml:space="preserve">, mais elle était beaucoup plus faible </w:t>
      </w:r>
      <w:r w:rsidR="007E6DFB" w:rsidRPr="00AA7F32">
        <w:rPr>
          <w:lang w:val="fr-BE"/>
        </w:rPr>
        <w:t>(2</w:t>
      </w:r>
      <w:r w:rsidRPr="00AA7F32">
        <w:rPr>
          <w:lang w:val="fr-BE"/>
        </w:rPr>
        <w:t xml:space="preserve">%). </w:t>
      </w:r>
    </w:p>
    <w:p w14:paraId="741D535C" w14:textId="77777777" w:rsidR="003D443F" w:rsidRPr="00AA7F32" w:rsidRDefault="003D443F" w:rsidP="001D67D1">
      <w:pPr>
        <w:spacing w:after="0"/>
        <w:jc w:val="both"/>
        <w:rPr>
          <w:lang w:val="fr-BE"/>
        </w:rPr>
      </w:pPr>
    </w:p>
    <w:p w14:paraId="75ADCB04" w14:textId="4909C297" w:rsidR="00AC428E" w:rsidRPr="00AA7F32" w:rsidRDefault="007E6DFB" w:rsidP="001D67D1">
      <w:pPr>
        <w:spacing w:after="0"/>
        <w:jc w:val="both"/>
        <w:rPr>
          <w:lang w:val="fr-BE"/>
        </w:rPr>
      </w:pPr>
      <w:r w:rsidRPr="00AA7F32">
        <w:rPr>
          <w:lang w:val="fr-BE"/>
        </w:rPr>
        <w:t>Plusieurs hypothèses peuvent expliquer cette différence</w:t>
      </w:r>
      <w:r w:rsidR="00882F55" w:rsidRPr="00AA7F32">
        <w:rPr>
          <w:lang w:val="fr-BE"/>
        </w:rPr>
        <w:t> :</w:t>
      </w:r>
      <w:r w:rsidR="003D443F" w:rsidRPr="00AA7F32">
        <w:rPr>
          <w:lang w:val="fr-BE"/>
        </w:rPr>
        <w:t xml:space="preserve"> </w:t>
      </w:r>
    </w:p>
    <w:p w14:paraId="1903E61D" w14:textId="77777777" w:rsidR="00AC428E" w:rsidRPr="00AA7F32" w:rsidRDefault="00AC428E" w:rsidP="001D67D1">
      <w:pPr>
        <w:spacing w:after="0"/>
        <w:jc w:val="both"/>
        <w:rPr>
          <w:lang w:val="fr-BE"/>
        </w:rPr>
      </w:pPr>
    </w:p>
    <w:p w14:paraId="2D18B4A5" w14:textId="0C0CE9F7" w:rsidR="00B37D1B" w:rsidRPr="00A71CD1" w:rsidRDefault="003D443F" w:rsidP="00B37D1B">
      <w:pPr>
        <w:pStyle w:val="Paragraphedeliste"/>
        <w:numPr>
          <w:ilvl w:val="0"/>
          <w:numId w:val="34"/>
        </w:numPr>
        <w:spacing w:after="0"/>
        <w:jc w:val="both"/>
        <w:rPr>
          <w:lang w:val="fr-BE"/>
        </w:rPr>
      </w:pPr>
      <w:r w:rsidRPr="00A71CD1">
        <w:rPr>
          <w:lang w:val="fr-BE"/>
        </w:rPr>
        <w:t>On peut notamment expliquer la baisse de la consommation ob</w:t>
      </w:r>
      <w:r w:rsidR="00AC428E" w:rsidRPr="00A71CD1">
        <w:rPr>
          <w:lang w:val="fr-BE"/>
        </w:rPr>
        <w:t xml:space="preserve">servée entre l’étude de 2013 par l’introduction de </w:t>
      </w:r>
      <w:r w:rsidR="007044B5" w:rsidRPr="00A71CD1">
        <w:rPr>
          <w:lang w:val="fr-BE"/>
        </w:rPr>
        <w:t xml:space="preserve">la tarification à l'unité (délivrance par </w:t>
      </w:r>
      <w:r w:rsidR="00234A66" w:rsidRPr="00A71CD1">
        <w:rPr>
          <w:lang w:val="fr-BE"/>
        </w:rPr>
        <w:t>comprimé</w:t>
      </w:r>
      <w:r w:rsidR="007044B5" w:rsidRPr="00A71CD1">
        <w:rPr>
          <w:lang w:val="fr-BE"/>
        </w:rPr>
        <w:t xml:space="preserve">) dans les </w:t>
      </w:r>
      <w:r w:rsidRPr="00A71CD1">
        <w:rPr>
          <w:lang w:val="fr-BE"/>
        </w:rPr>
        <w:t>maison de repos</w:t>
      </w:r>
      <w:r w:rsidR="007044B5" w:rsidRPr="00A71CD1">
        <w:rPr>
          <w:lang w:val="fr-BE"/>
        </w:rPr>
        <w:t xml:space="preserve"> en 2015</w:t>
      </w:r>
      <w:r w:rsidR="000C6AAF" w:rsidRPr="00A71CD1">
        <w:rPr>
          <w:lang w:val="fr-BE"/>
        </w:rPr>
        <w:t xml:space="preserve"> (mesure obligatoire</w:t>
      </w:r>
      <w:r w:rsidR="00AC428E" w:rsidRPr="00A71CD1">
        <w:rPr>
          <w:lang w:val="fr-BE"/>
        </w:rPr>
        <w:t>) ainsi que par la possibilité de préparation médicale individuelle (PMI) depuis 2012</w:t>
      </w:r>
      <w:r w:rsidR="00AC428E" w:rsidRPr="00AA7F32">
        <w:rPr>
          <w:rStyle w:val="Appelnotedebasdep"/>
          <w:lang w:val="fr-BE"/>
        </w:rPr>
        <w:footnoteReference w:id="24"/>
      </w:r>
      <w:r w:rsidR="007044B5" w:rsidRPr="00A71CD1">
        <w:rPr>
          <w:lang w:val="fr-BE"/>
        </w:rPr>
        <w:t xml:space="preserve">. </w:t>
      </w:r>
      <w:r w:rsidR="00234A66" w:rsidRPr="00A71CD1">
        <w:rPr>
          <w:lang w:val="fr-BE"/>
        </w:rPr>
        <w:t xml:space="preserve">La PMI consiste ainsi à regrouper et préparer l’ensemble des médicaments prescrits à un patient sous un seul conditionnement dans le cadre d’un </w:t>
      </w:r>
      <w:r w:rsidR="00234A66" w:rsidRPr="00A71CD1">
        <w:rPr>
          <w:lang w:val="fr-BE"/>
        </w:rPr>
        <w:lastRenderedPageBreak/>
        <w:t>traitement pour maladie chronique et consiste en un suivi personnalisé des soins pharmaceutiques dans le cadre d’un accord conclu entre le patient, le pharmacien et le médecin. Cela permet</w:t>
      </w:r>
      <w:r w:rsidR="00A71CD1" w:rsidRPr="00A71CD1">
        <w:rPr>
          <w:lang w:val="fr-BE"/>
        </w:rPr>
        <w:t xml:space="preserve"> : i. </w:t>
      </w:r>
      <w:r w:rsidR="00234A66" w:rsidRPr="00A71CD1">
        <w:rPr>
          <w:lang w:val="fr-BE"/>
        </w:rPr>
        <w:t>d’établir le schéma médicamenteux d’un patient et de veiller à ce qu’il n’y ait pas de contre-indications ou autres entre les différents traitements à administrer</w:t>
      </w:r>
      <w:r w:rsidR="00A71CD1" w:rsidRPr="00A71CD1">
        <w:rPr>
          <w:lang w:val="fr-BE"/>
        </w:rPr>
        <w:t xml:space="preserve"> ; ii. de mieux répondre aux besoins </w:t>
      </w:r>
      <w:r w:rsidR="00B90D43">
        <w:rPr>
          <w:lang w:val="fr-BE"/>
        </w:rPr>
        <w:t>du sénior</w:t>
      </w:r>
      <w:r w:rsidR="00A71CD1" w:rsidRPr="00A71CD1">
        <w:rPr>
          <w:lang w:val="fr-BE"/>
        </w:rPr>
        <w:t xml:space="preserve"> avec des conditionnements faciles à utiliser et administrer pour chaque moment de prise (cf. par exemple des formes galéniques différentes d’un médicament pour les patients ayant des difficultés de déglutition) ; iii. d’améliorer la qualité des soins en évitant les erreurs liées aux médicaments (en </w:t>
      </w:r>
      <w:r w:rsidR="00B90D43">
        <w:rPr>
          <w:lang w:val="fr-BE"/>
        </w:rPr>
        <w:t>« </w:t>
      </w:r>
      <w:r w:rsidR="00A71CD1" w:rsidRPr="00A71CD1">
        <w:rPr>
          <w:lang w:val="fr-BE"/>
        </w:rPr>
        <w:t>garantissant l’administration correcte du bon médicament au bon patient, au bon moment, selon la bonne posologie</w:t>
      </w:r>
      <w:r w:rsidR="00B90D43">
        <w:rPr>
          <w:lang w:val="fr-BE"/>
        </w:rPr>
        <w:t> »</w:t>
      </w:r>
      <w:r w:rsidR="00B90D43">
        <w:rPr>
          <w:rStyle w:val="Appelnotedebasdep"/>
          <w:lang w:val="fr-BE"/>
        </w:rPr>
        <w:footnoteReference w:id="25"/>
      </w:r>
      <w:r w:rsidR="00A71CD1" w:rsidRPr="00A71CD1">
        <w:rPr>
          <w:lang w:val="fr-BE"/>
        </w:rPr>
        <w:t>).</w:t>
      </w:r>
      <w:r w:rsidR="00A71CD1">
        <w:rPr>
          <w:lang w:val="fr-BE"/>
        </w:rPr>
        <w:t xml:space="preserve"> </w:t>
      </w:r>
      <w:r w:rsidR="00234A66" w:rsidRPr="00A71CD1">
        <w:rPr>
          <w:lang w:val="fr-BE"/>
        </w:rPr>
        <w:t xml:space="preserve">Cette mesure a également </w:t>
      </w:r>
      <w:r w:rsidR="00A71CD1">
        <w:rPr>
          <w:lang w:val="fr-BE"/>
        </w:rPr>
        <w:t>ainsi pour</w:t>
      </w:r>
      <w:r w:rsidR="00234A66" w:rsidRPr="00A71CD1">
        <w:rPr>
          <w:lang w:val="fr-BE"/>
        </w:rPr>
        <w:t xml:space="preserve"> objectif d’améliorer le contrôle de l’</w:t>
      </w:r>
      <w:r w:rsidR="00EA2E24" w:rsidRPr="00A71CD1">
        <w:rPr>
          <w:lang w:val="fr-BE"/>
        </w:rPr>
        <w:t>utilisation de médicaments et d’éviter la surconsommation de médicaments en maison de repos. Le corollaire étant également que la maison d</w:t>
      </w:r>
      <w:r w:rsidR="00005FFE" w:rsidRPr="00A71CD1">
        <w:rPr>
          <w:lang w:val="fr-BE"/>
        </w:rPr>
        <w:t>e repos ne dispose plus d’u</w:t>
      </w:r>
      <w:r w:rsidR="00EA2E24" w:rsidRPr="00A71CD1">
        <w:rPr>
          <w:lang w:val="fr-BE"/>
        </w:rPr>
        <w:t xml:space="preserve">n grand stock de médicaments comme c’était le cas auparavant ; ce qui limite la consommation de médicaments </w:t>
      </w:r>
      <w:r w:rsidR="00005FFE" w:rsidRPr="00A71CD1">
        <w:rPr>
          <w:lang w:val="fr-BE"/>
        </w:rPr>
        <w:t xml:space="preserve">ou les changements de traitement </w:t>
      </w:r>
      <w:r w:rsidR="00EA2E24" w:rsidRPr="00A71CD1">
        <w:rPr>
          <w:lang w:val="fr-BE"/>
        </w:rPr>
        <w:t xml:space="preserve">mais peut aussi parfois poser des problèmes lorsqu’il y a un besoin d’un traitement urgent ou </w:t>
      </w:r>
      <w:r w:rsidR="006F27C6" w:rsidRPr="00A71CD1">
        <w:rPr>
          <w:lang w:val="fr-BE"/>
        </w:rPr>
        <w:t>d’</w:t>
      </w:r>
      <w:r w:rsidR="00EA2E24" w:rsidRPr="00A71CD1">
        <w:rPr>
          <w:lang w:val="fr-BE"/>
        </w:rPr>
        <w:t xml:space="preserve">un changement de traitement pendant le weekend par exemple. Certaines maisons de repos </w:t>
      </w:r>
      <w:r w:rsidR="009A6832" w:rsidRPr="00A71CD1">
        <w:rPr>
          <w:lang w:val="fr-BE"/>
        </w:rPr>
        <w:t xml:space="preserve">s’organisent ainsi pour disposer d’un stock « tampon » et de médicaments à usage fréquent en réserve pour éviter de tomber à court. </w:t>
      </w:r>
      <w:r w:rsidR="00AC428E" w:rsidRPr="00A71CD1">
        <w:rPr>
          <w:lang w:val="fr-BE"/>
        </w:rPr>
        <w:t>Si la PMI reste aujourd’hui optionnelle, elle est de plus en plus pratiquée dans les maisons de repos</w:t>
      </w:r>
      <w:r w:rsidR="00005FFE" w:rsidRPr="00A71CD1">
        <w:rPr>
          <w:lang w:val="fr-BE"/>
        </w:rPr>
        <w:t xml:space="preserve"> de sorte que les pratiques au sein de ces dernières ont évolué.</w:t>
      </w:r>
      <w:r w:rsidR="0026283F" w:rsidRPr="00A71CD1">
        <w:rPr>
          <w:lang w:val="fr-BE"/>
        </w:rPr>
        <w:t xml:space="preserve"> En outre, l’introduction de la PMI a aussi permis des évolutions dans le chef des patients avec les familles des résidents qui se sont de plus en plus intéressées à la consommation de médicaments de leurs proche institutionnalisé, d’autant plus qu’elles doivent parfois intervenir financi</w:t>
      </w:r>
      <w:r w:rsidR="004A3954" w:rsidRPr="00A71CD1">
        <w:rPr>
          <w:lang w:val="fr-BE"/>
        </w:rPr>
        <w:t xml:space="preserve">èrement pour la prise en charge </w:t>
      </w:r>
      <w:r w:rsidR="0026283F" w:rsidRPr="00A71CD1">
        <w:rPr>
          <w:lang w:val="fr-BE"/>
        </w:rPr>
        <w:t>de leur proche (que ce soit pour payer les médicaments ou les autres factures liées au séjour en maison de repos).</w:t>
      </w:r>
    </w:p>
    <w:p w14:paraId="7A20C587" w14:textId="77777777" w:rsidR="00B37D1B" w:rsidRDefault="00B37D1B" w:rsidP="00B37D1B">
      <w:pPr>
        <w:pStyle w:val="Paragraphedeliste"/>
        <w:numPr>
          <w:ilvl w:val="0"/>
          <w:numId w:val="0"/>
        </w:numPr>
        <w:spacing w:after="0"/>
        <w:ind w:left="720"/>
        <w:jc w:val="both"/>
        <w:rPr>
          <w:lang w:val="fr-BE"/>
        </w:rPr>
      </w:pPr>
    </w:p>
    <w:p w14:paraId="54593887" w14:textId="27D6E520" w:rsidR="007E63B6" w:rsidRPr="00B37D1B" w:rsidRDefault="00B37D1B" w:rsidP="00B37D1B">
      <w:pPr>
        <w:pStyle w:val="Paragraphedeliste"/>
        <w:numPr>
          <w:ilvl w:val="0"/>
          <w:numId w:val="34"/>
        </w:numPr>
        <w:spacing w:after="0"/>
        <w:jc w:val="both"/>
        <w:rPr>
          <w:lang w:val="fr-BE"/>
        </w:rPr>
      </w:pPr>
      <w:r w:rsidRPr="00B37D1B">
        <w:rPr>
          <w:lang w:val="fr-BE"/>
        </w:rPr>
        <w:t xml:space="preserve">De même, ces dernières années, une attention accrue a été accordée à une meilleure politique de médication avec des actions autour de la polymédication, d’une meilleure orientation des patients en termes d'utilisation des médicaments,... A cet égard, </w:t>
      </w:r>
      <w:proofErr w:type="spellStart"/>
      <w:r w:rsidRPr="00B37D1B">
        <w:rPr>
          <w:lang w:val="fr-BE"/>
        </w:rPr>
        <w:t>l’asbl</w:t>
      </w:r>
      <w:proofErr w:type="spellEnd"/>
      <w:r w:rsidRPr="00B37D1B">
        <w:rPr>
          <w:lang w:val="fr-BE"/>
        </w:rPr>
        <w:t xml:space="preserve"> Liages (anciennement « Espace Seniors »), a par exemple organisé il y a quelques années une campagne d’information et de sensibilisation avec une conférence intitulée « La (dé)prescription des médicaments chez les seniors »</w:t>
      </w:r>
      <w:r w:rsidRPr="00AA7F32">
        <w:rPr>
          <w:rStyle w:val="Appelnotedebasdep"/>
          <w:lang w:val="fr-BE"/>
        </w:rPr>
        <w:footnoteReference w:id="26"/>
      </w:r>
      <w:r w:rsidRPr="00B37D1B">
        <w:rPr>
          <w:lang w:val="fr-BE"/>
        </w:rPr>
        <w:t xml:space="preserve"> qui a d’ailleurs été reconnue comme journée de formation pour les directeurs et membres du personnel de maison de repos mais également des séances d’information « (Dé)prescrivez-moi ça ?! » destinées aux seniors pour aborder avec eux la relation qu’ils entretiennent avec leur médecin, les attitudes adoptées par leur médecin en termes de prescription ainsi que les différentes réactions des seniors. Cette campagne s’intégrait d’une manière plus large dans le projet « Dosez-moi ça !» du Service Promotion de la santé de Solidaris dont l’objectif était d’améliorer la qualité dans la prescription, la délivrance et la consommation de médicaments auprès de différents publics.   </w:t>
      </w:r>
    </w:p>
    <w:p w14:paraId="49B7EA9C" w14:textId="77777777" w:rsidR="00B37D1B" w:rsidRPr="00AA7F32" w:rsidRDefault="00B37D1B" w:rsidP="007E63B6">
      <w:pPr>
        <w:pStyle w:val="Paragraphedeliste"/>
        <w:numPr>
          <w:ilvl w:val="0"/>
          <w:numId w:val="0"/>
        </w:numPr>
        <w:spacing w:after="0"/>
        <w:ind w:left="720"/>
        <w:jc w:val="both"/>
        <w:rPr>
          <w:lang w:val="fr-BE"/>
        </w:rPr>
      </w:pPr>
    </w:p>
    <w:p w14:paraId="248643F6" w14:textId="763D185F" w:rsidR="006F27C6" w:rsidRPr="00AA7F32" w:rsidRDefault="00E76615" w:rsidP="00882F55">
      <w:pPr>
        <w:pStyle w:val="Paragraphedeliste"/>
        <w:numPr>
          <w:ilvl w:val="0"/>
          <w:numId w:val="34"/>
        </w:numPr>
        <w:spacing w:after="0"/>
        <w:jc w:val="both"/>
        <w:rPr>
          <w:lang w:val="fr-BE"/>
        </w:rPr>
      </w:pPr>
      <w:r w:rsidRPr="00AA7F32">
        <w:rPr>
          <w:lang w:val="fr-BE"/>
        </w:rPr>
        <w:t>Il y a également eu des efforts en matière de</w:t>
      </w:r>
      <w:r w:rsidR="00941172" w:rsidRPr="00AA7F32">
        <w:rPr>
          <w:lang w:val="fr-BE"/>
        </w:rPr>
        <w:t xml:space="preserve"> </w:t>
      </w:r>
      <w:r w:rsidR="000C6AAF" w:rsidRPr="00AA7F32">
        <w:rPr>
          <w:lang w:val="fr-BE"/>
        </w:rPr>
        <w:t xml:space="preserve">formation des médecins coordinateurs et conseillers (MCC) </w:t>
      </w:r>
      <w:r w:rsidR="007044B5" w:rsidRPr="00AA7F32">
        <w:rPr>
          <w:lang w:val="fr-BE"/>
        </w:rPr>
        <w:t xml:space="preserve">dans les </w:t>
      </w:r>
      <w:r w:rsidR="003D443F" w:rsidRPr="00AA7F32">
        <w:rPr>
          <w:lang w:val="fr-BE"/>
        </w:rPr>
        <w:t>maison de repos</w:t>
      </w:r>
      <w:r w:rsidR="007044B5" w:rsidRPr="00AA7F32">
        <w:rPr>
          <w:lang w:val="fr-BE"/>
        </w:rPr>
        <w:t>.</w:t>
      </w:r>
      <w:r w:rsidR="006F27C6" w:rsidRPr="00AA7F32">
        <w:rPr>
          <w:lang w:val="fr-BE"/>
        </w:rPr>
        <w:t xml:space="preserve"> </w:t>
      </w:r>
      <w:r w:rsidR="005B112E" w:rsidRPr="00AA7F32">
        <w:rPr>
          <w:lang w:val="fr-BE"/>
        </w:rPr>
        <w:t xml:space="preserve">Cela pour leur permettre d’assurer au mieux leurs </w:t>
      </w:r>
      <w:r w:rsidR="00882F55" w:rsidRPr="00AA7F32">
        <w:rPr>
          <w:lang w:val="fr-BE"/>
        </w:rPr>
        <w:t xml:space="preserve"> mission</w:t>
      </w:r>
      <w:r w:rsidR="005B112E" w:rsidRPr="00AA7F32">
        <w:rPr>
          <w:lang w:val="fr-BE"/>
        </w:rPr>
        <w:t>s</w:t>
      </w:r>
      <w:r w:rsidR="00882F55" w:rsidRPr="00AA7F32">
        <w:rPr>
          <w:lang w:val="fr-BE"/>
        </w:rPr>
        <w:t xml:space="preserve">, en concertation avec le(s) infirmier(s) en chef, </w:t>
      </w:r>
      <w:r w:rsidR="005B112E" w:rsidRPr="00AA7F32">
        <w:rPr>
          <w:lang w:val="fr-BE"/>
        </w:rPr>
        <w:t xml:space="preserve">et </w:t>
      </w:r>
      <w:r w:rsidR="00882F55" w:rsidRPr="00AA7F32">
        <w:rPr>
          <w:lang w:val="fr-BE"/>
        </w:rPr>
        <w:t>les tâches liées aux soins : i. organiser la concertation pluridisciplinaire, ii. mettre en place des politiques de prévention, iii. organiser la prescription, la fourniture, la délivrance, la conservation et la distribution de médicaments en concertation avec les pharmaciens, iv. établir et actualiser chaque année le formulaire médico-pharmaceutique, v. etc. Le MCC joue donc un rôle central en termes de prescription de médicaments.</w:t>
      </w:r>
    </w:p>
    <w:p w14:paraId="4DEA02F7" w14:textId="77777777" w:rsidR="006F27C6" w:rsidRPr="00AA7F32" w:rsidRDefault="006F27C6" w:rsidP="001D67D1">
      <w:pPr>
        <w:spacing w:after="0"/>
        <w:jc w:val="both"/>
        <w:rPr>
          <w:lang w:val="fr-BE"/>
        </w:rPr>
      </w:pPr>
    </w:p>
    <w:p w14:paraId="478957D7" w14:textId="583E4CFC" w:rsidR="007044B5" w:rsidRPr="00AA7F32" w:rsidRDefault="007044B5" w:rsidP="00882F55">
      <w:pPr>
        <w:pStyle w:val="Paragraphedeliste"/>
        <w:numPr>
          <w:ilvl w:val="0"/>
          <w:numId w:val="34"/>
        </w:numPr>
        <w:spacing w:after="0"/>
        <w:jc w:val="both"/>
        <w:rPr>
          <w:rFonts w:cs="Arial"/>
          <w:szCs w:val="20"/>
          <w:lang w:val="fr-BE"/>
        </w:rPr>
      </w:pPr>
      <w:r w:rsidRPr="00AA7F32">
        <w:rPr>
          <w:lang w:val="fr-BE"/>
        </w:rPr>
        <w:t>Enfin, cela peut aussi être dû en partie à une population légèrement différente de celle de l'ancienne étude</w:t>
      </w:r>
      <w:r w:rsidR="00D078AA">
        <w:rPr>
          <w:rStyle w:val="Appelnotedebasdep"/>
          <w:lang w:val="fr-BE"/>
        </w:rPr>
        <w:footnoteReference w:id="27"/>
      </w:r>
      <w:r w:rsidRPr="00AA7F32">
        <w:rPr>
          <w:lang w:val="fr-BE"/>
        </w:rPr>
        <w:t>.</w:t>
      </w:r>
    </w:p>
    <w:p w14:paraId="12CE483A" w14:textId="77777777" w:rsidR="007E6DFB" w:rsidRPr="007044B5" w:rsidRDefault="007E6DFB" w:rsidP="001D67D1">
      <w:pPr>
        <w:spacing w:after="0"/>
        <w:jc w:val="both"/>
        <w:rPr>
          <w:lang w:val="fr-BE"/>
        </w:rPr>
      </w:pPr>
    </w:p>
    <w:p w14:paraId="6B1AA1A8" w14:textId="03A99735" w:rsidR="00D078AA" w:rsidRDefault="00A60BEA" w:rsidP="00E07250">
      <w:pPr>
        <w:jc w:val="both"/>
        <w:rPr>
          <w:rStyle w:val="Accentuation"/>
          <w:lang w:val="fr-BE"/>
        </w:rPr>
      </w:pPr>
      <w:r>
        <w:rPr>
          <w:lang w:val="fr-BE"/>
        </w:rPr>
        <w:t xml:space="preserve">Lorsqu’on analyse la situation par type </w:t>
      </w:r>
      <w:r w:rsidR="007044B5" w:rsidRPr="007044B5">
        <w:rPr>
          <w:lang w:val="fr-BE"/>
        </w:rPr>
        <w:t>de médicaments, la diminution des DDD est la plus prononcée pour les anti-inflammatoires (-49%) et les antidiabétiques (-33%)</w:t>
      </w:r>
      <w:r>
        <w:rPr>
          <w:lang w:val="fr-BE"/>
        </w:rPr>
        <w:t xml:space="preserve"> alors qu’ elle est</w:t>
      </w:r>
      <w:r w:rsidR="007044B5" w:rsidRPr="007044B5">
        <w:rPr>
          <w:lang w:val="fr-BE"/>
        </w:rPr>
        <w:t xml:space="preserve"> la plus faible pour les antidépresseurs (-8%) et les inhibiteurs de la pompe à protons (-3%). Ce n'est que pour les antipsychotiques que l</w:t>
      </w:r>
      <w:r>
        <w:rPr>
          <w:lang w:val="fr-BE"/>
        </w:rPr>
        <w:t xml:space="preserve">a délivrance </w:t>
      </w:r>
      <w:r w:rsidR="007044B5" w:rsidRPr="007044B5">
        <w:rPr>
          <w:lang w:val="fr-BE"/>
        </w:rPr>
        <w:t xml:space="preserve">de </w:t>
      </w:r>
      <w:r w:rsidR="00D078AA">
        <w:rPr>
          <w:lang w:val="fr-BE"/>
        </w:rPr>
        <w:t>D</w:t>
      </w:r>
      <w:r w:rsidR="007044B5" w:rsidRPr="007044B5">
        <w:rPr>
          <w:lang w:val="fr-BE"/>
        </w:rPr>
        <w:t xml:space="preserve">DD </w:t>
      </w:r>
      <w:r>
        <w:rPr>
          <w:lang w:val="fr-BE"/>
        </w:rPr>
        <w:t>augmente</w:t>
      </w:r>
      <w:r w:rsidR="007044B5" w:rsidRPr="007044B5">
        <w:rPr>
          <w:lang w:val="fr-BE"/>
        </w:rPr>
        <w:t xml:space="preserve"> après l'</w:t>
      </w:r>
      <w:r>
        <w:rPr>
          <w:lang w:val="fr-BE"/>
        </w:rPr>
        <w:t xml:space="preserve">entrée en maison de repos </w:t>
      </w:r>
      <w:r w:rsidR="007044B5" w:rsidRPr="007044B5">
        <w:rPr>
          <w:lang w:val="fr-BE"/>
        </w:rPr>
        <w:t>(+8%).</w:t>
      </w:r>
    </w:p>
    <w:p w14:paraId="1C444B88" w14:textId="78E45841" w:rsidR="007044B5" w:rsidRPr="007D60F6" w:rsidRDefault="007044B5" w:rsidP="007D60F6">
      <w:pPr>
        <w:pStyle w:val="Tableau"/>
      </w:pPr>
      <w:bookmarkStart w:id="15" w:name="_Toc130195832"/>
      <w:r w:rsidRPr="007D60F6">
        <w:t>Tableau 4 : Délivrance de DDD six mois avant et six mois après l'</w:t>
      </w:r>
      <w:r w:rsidR="00DB7180" w:rsidRPr="007D60F6">
        <w:t xml:space="preserve">entrée en maison de repos </w:t>
      </w:r>
      <w:r w:rsidR="008443B0" w:rsidRPr="007D60F6">
        <w:t>par type de</w:t>
      </w:r>
      <w:r w:rsidRPr="007D60F6">
        <w:t xml:space="preserve"> médicament</w:t>
      </w:r>
      <w:r w:rsidR="000F5E8A" w:rsidRPr="007D60F6">
        <w:t>, 2020-2021</w:t>
      </w:r>
      <w:bookmarkEnd w:id="15"/>
    </w:p>
    <w:tbl>
      <w:tblPr>
        <w:tblStyle w:val="Solidaris"/>
        <w:tblW w:w="0" w:type="auto"/>
        <w:tblLayout w:type="fixed"/>
        <w:tblLook w:val="04E0" w:firstRow="1" w:lastRow="1" w:firstColumn="1" w:lastColumn="0" w:noHBand="0" w:noVBand="1"/>
      </w:tblPr>
      <w:tblGrid>
        <w:gridCol w:w="2410"/>
        <w:gridCol w:w="2126"/>
        <w:gridCol w:w="1985"/>
        <w:gridCol w:w="1276"/>
        <w:gridCol w:w="1229"/>
      </w:tblGrid>
      <w:tr w:rsidR="007044B5" w:rsidRPr="007044B5" w14:paraId="0E6B72AA" w14:textId="77777777" w:rsidTr="0002727C">
        <w:trPr>
          <w:cnfStyle w:val="100000000000" w:firstRow="1" w:lastRow="0" w:firstColumn="0" w:lastColumn="0" w:oddVBand="0" w:evenVBand="0" w:oddHBand="0" w:evenHBand="0" w:firstRowFirstColumn="0" w:firstRowLastColumn="0" w:lastRowFirstColumn="0" w:lastRowLastColumn="0"/>
        </w:trPr>
        <w:tc>
          <w:tcPr>
            <w:tcW w:w="2410" w:type="dxa"/>
          </w:tcPr>
          <w:p w14:paraId="0312589B" w14:textId="77777777" w:rsidR="007044B5" w:rsidRPr="007044B5" w:rsidRDefault="007044B5" w:rsidP="001D67D1">
            <w:pPr>
              <w:jc w:val="both"/>
              <w:rPr>
                <w:sz w:val="18"/>
                <w:szCs w:val="18"/>
                <w:lang w:val="nl-BE"/>
              </w:rPr>
            </w:pPr>
            <w:r w:rsidRPr="007044B5">
              <w:rPr>
                <w:sz w:val="18"/>
                <w:szCs w:val="18"/>
                <w:lang w:val="nl-BE"/>
              </w:rPr>
              <w:t>Type de médicament</w:t>
            </w:r>
          </w:p>
        </w:tc>
        <w:tc>
          <w:tcPr>
            <w:tcW w:w="2126" w:type="dxa"/>
          </w:tcPr>
          <w:p w14:paraId="71DDEEA0" w14:textId="78F3F99D" w:rsidR="007044B5" w:rsidRPr="007044B5" w:rsidRDefault="007044B5" w:rsidP="00AB304A">
            <w:pPr>
              <w:rPr>
                <w:sz w:val="18"/>
                <w:szCs w:val="18"/>
              </w:rPr>
            </w:pPr>
            <w:r>
              <w:rPr>
                <w:rFonts w:eastAsia="Times New Roman"/>
                <w:color w:val="FFFFFF" w:themeColor="background1"/>
                <w:sz w:val="18"/>
                <w:szCs w:val="18"/>
                <w:lang w:eastAsia="en-US"/>
              </w:rPr>
              <w:t>Nombre de DDD avant l'entrée en maison de repos</w:t>
            </w:r>
          </w:p>
        </w:tc>
        <w:tc>
          <w:tcPr>
            <w:tcW w:w="1985" w:type="dxa"/>
          </w:tcPr>
          <w:p w14:paraId="6A18526E" w14:textId="1ACFB73A" w:rsidR="007044B5" w:rsidRPr="007044B5" w:rsidRDefault="007044B5" w:rsidP="00AB304A">
            <w:pPr>
              <w:rPr>
                <w:sz w:val="18"/>
                <w:szCs w:val="18"/>
              </w:rPr>
            </w:pPr>
            <w:r w:rsidRPr="007044B5">
              <w:rPr>
                <w:rFonts w:eastAsia="Times New Roman"/>
                <w:color w:val="FFFFFF" w:themeColor="background1"/>
                <w:sz w:val="18"/>
                <w:szCs w:val="18"/>
                <w:lang w:eastAsia="en-US"/>
              </w:rPr>
              <w:t>Nombre de DDD après l'</w:t>
            </w:r>
            <w:r>
              <w:rPr>
                <w:rFonts w:eastAsia="Times New Roman"/>
                <w:color w:val="FFFFFF" w:themeColor="background1"/>
                <w:sz w:val="18"/>
                <w:szCs w:val="18"/>
                <w:lang w:eastAsia="en-US"/>
              </w:rPr>
              <w:t>entrée en maison de repos</w:t>
            </w:r>
          </w:p>
        </w:tc>
        <w:tc>
          <w:tcPr>
            <w:tcW w:w="1276" w:type="dxa"/>
          </w:tcPr>
          <w:p w14:paraId="421F42DE" w14:textId="77777777" w:rsidR="007044B5" w:rsidRPr="007044B5" w:rsidRDefault="007044B5" w:rsidP="00AB304A">
            <w:pPr>
              <w:rPr>
                <w:sz w:val="18"/>
                <w:szCs w:val="18"/>
                <w:lang w:val="nl-BE"/>
              </w:rPr>
            </w:pPr>
            <w:proofErr w:type="spellStart"/>
            <w:r w:rsidRPr="007044B5">
              <w:rPr>
                <w:rFonts w:eastAsia="Times New Roman"/>
                <w:color w:val="FFFFFF" w:themeColor="background1"/>
                <w:sz w:val="18"/>
                <w:szCs w:val="18"/>
                <w:lang w:val="nl-BE" w:eastAsia="en-US"/>
              </w:rPr>
              <w:t>Différence</w:t>
            </w:r>
            <w:proofErr w:type="spellEnd"/>
            <w:r w:rsidRPr="007044B5">
              <w:rPr>
                <w:rFonts w:eastAsia="Times New Roman"/>
                <w:color w:val="FFFFFF" w:themeColor="background1"/>
                <w:sz w:val="18"/>
                <w:szCs w:val="18"/>
                <w:lang w:val="nl-BE" w:eastAsia="en-US"/>
              </w:rPr>
              <w:t xml:space="preserve"> (</w:t>
            </w:r>
            <w:proofErr w:type="spellStart"/>
            <w:r w:rsidRPr="007044B5">
              <w:rPr>
                <w:rFonts w:eastAsia="Times New Roman"/>
                <w:color w:val="FFFFFF" w:themeColor="background1"/>
                <w:sz w:val="18"/>
                <w:szCs w:val="18"/>
                <w:lang w:val="nl-BE" w:eastAsia="en-US"/>
              </w:rPr>
              <w:t>absolue</w:t>
            </w:r>
            <w:proofErr w:type="spellEnd"/>
            <w:r w:rsidRPr="007044B5">
              <w:rPr>
                <w:rFonts w:eastAsia="Times New Roman"/>
                <w:color w:val="FFFFFF" w:themeColor="background1"/>
                <w:sz w:val="18"/>
                <w:szCs w:val="18"/>
                <w:lang w:val="nl-BE" w:eastAsia="en-US"/>
              </w:rPr>
              <w:t>)</w:t>
            </w:r>
          </w:p>
        </w:tc>
        <w:tc>
          <w:tcPr>
            <w:tcW w:w="1229" w:type="dxa"/>
          </w:tcPr>
          <w:p w14:paraId="4455109F" w14:textId="4DB183EF" w:rsidR="007044B5" w:rsidRPr="007044B5" w:rsidRDefault="007044B5" w:rsidP="00AB304A">
            <w:pPr>
              <w:rPr>
                <w:sz w:val="18"/>
                <w:szCs w:val="18"/>
                <w:lang w:val="nl-BE"/>
              </w:rPr>
            </w:pPr>
            <w:proofErr w:type="spellStart"/>
            <w:r w:rsidRPr="007044B5">
              <w:rPr>
                <w:rFonts w:eastAsia="Times New Roman"/>
                <w:color w:val="FFFFFF" w:themeColor="background1"/>
                <w:sz w:val="18"/>
                <w:szCs w:val="18"/>
                <w:lang w:val="nl-BE" w:eastAsia="en-US"/>
              </w:rPr>
              <w:t>Différence</w:t>
            </w:r>
            <w:proofErr w:type="spellEnd"/>
            <w:r w:rsidRPr="007044B5">
              <w:rPr>
                <w:rFonts w:eastAsia="Times New Roman"/>
                <w:color w:val="FFFFFF" w:themeColor="background1"/>
                <w:sz w:val="18"/>
                <w:szCs w:val="18"/>
                <w:lang w:val="nl-BE" w:eastAsia="en-US"/>
              </w:rPr>
              <w:t xml:space="preserve"> (</w:t>
            </w:r>
            <w:r>
              <w:rPr>
                <w:rFonts w:eastAsia="Times New Roman"/>
                <w:color w:val="FFFFFF" w:themeColor="background1"/>
                <w:sz w:val="18"/>
                <w:szCs w:val="18"/>
                <w:lang w:val="nl-BE" w:eastAsia="en-US"/>
              </w:rPr>
              <w:t>%</w:t>
            </w:r>
            <w:r w:rsidRPr="007044B5">
              <w:rPr>
                <w:rFonts w:eastAsia="Times New Roman"/>
                <w:color w:val="FFFFFF" w:themeColor="background1"/>
                <w:sz w:val="18"/>
                <w:szCs w:val="18"/>
                <w:lang w:val="nl-BE" w:eastAsia="en-US"/>
              </w:rPr>
              <w:t>)</w:t>
            </w:r>
          </w:p>
        </w:tc>
      </w:tr>
      <w:tr w:rsidR="007044B5" w:rsidRPr="007044B5" w14:paraId="318EB59B" w14:textId="77777777" w:rsidTr="0002727C">
        <w:trPr>
          <w:cnfStyle w:val="000000100000" w:firstRow="0" w:lastRow="0" w:firstColumn="0" w:lastColumn="0" w:oddVBand="0" w:evenVBand="0" w:oddHBand="1" w:evenHBand="0" w:firstRowFirstColumn="0" w:firstRowLastColumn="0" w:lastRowFirstColumn="0" w:lastRowLastColumn="0"/>
          <w:trHeight w:val="340"/>
        </w:trPr>
        <w:tc>
          <w:tcPr>
            <w:tcW w:w="2410" w:type="dxa"/>
          </w:tcPr>
          <w:p w14:paraId="4B1AA180" w14:textId="77777777" w:rsidR="007044B5" w:rsidRPr="007044B5" w:rsidRDefault="007044B5" w:rsidP="001D67D1">
            <w:pPr>
              <w:jc w:val="both"/>
              <w:rPr>
                <w:sz w:val="18"/>
                <w:szCs w:val="18"/>
                <w:lang w:val="nl-BE"/>
              </w:rPr>
            </w:pPr>
            <w:r w:rsidRPr="007044B5">
              <w:rPr>
                <w:sz w:val="18"/>
                <w:szCs w:val="18"/>
              </w:rPr>
              <w:t>Anti-inflammatoires</w:t>
            </w:r>
          </w:p>
        </w:tc>
        <w:tc>
          <w:tcPr>
            <w:tcW w:w="2126" w:type="dxa"/>
          </w:tcPr>
          <w:p w14:paraId="57B278C0" w14:textId="77777777" w:rsidR="007044B5" w:rsidRPr="007044B5" w:rsidRDefault="007044B5" w:rsidP="00AB304A">
            <w:pPr>
              <w:rPr>
                <w:sz w:val="18"/>
                <w:szCs w:val="18"/>
                <w:lang w:val="nl-BE"/>
              </w:rPr>
            </w:pPr>
            <w:r w:rsidRPr="007044B5">
              <w:rPr>
                <w:sz w:val="18"/>
                <w:szCs w:val="18"/>
              </w:rPr>
              <w:t>20 514</w:t>
            </w:r>
          </w:p>
        </w:tc>
        <w:tc>
          <w:tcPr>
            <w:tcW w:w="1985" w:type="dxa"/>
          </w:tcPr>
          <w:p w14:paraId="74CF4200" w14:textId="77777777" w:rsidR="007044B5" w:rsidRPr="007044B5" w:rsidRDefault="007044B5" w:rsidP="00AB304A">
            <w:pPr>
              <w:rPr>
                <w:sz w:val="18"/>
                <w:szCs w:val="18"/>
                <w:lang w:val="nl-BE"/>
              </w:rPr>
            </w:pPr>
            <w:r w:rsidRPr="007044B5">
              <w:rPr>
                <w:sz w:val="18"/>
                <w:szCs w:val="18"/>
              </w:rPr>
              <w:t>10 442</w:t>
            </w:r>
          </w:p>
        </w:tc>
        <w:tc>
          <w:tcPr>
            <w:tcW w:w="1276" w:type="dxa"/>
          </w:tcPr>
          <w:p w14:paraId="4E23FB8D" w14:textId="77777777" w:rsidR="007044B5" w:rsidRPr="007044B5" w:rsidRDefault="007044B5" w:rsidP="00AB304A">
            <w:pPr>
              <w:rPr>
                <w:sz w:val="18"/>
                <w:szCs w:val="18"/>
                <w:lang w:val="nl-BE"/>
              </w:rPr>
            </w:pPr>
            <w:r w:rsidRPr="007044B5">
              <w:rPr>
                <w:sz w:val="18"/>
                <w:szCs w:val="18"/>
              </w:rPr>
              <w:t>-10 072</w:t>
            </w:r>
          </w:p>
        </w:tc>
        <w:tc>
          <w:tcPr>
            <w:tcW w:w="1229" w:type="dxa"/>
          </w:tcPr>
          <w:p w14:paraId="55762C4F" w14:textId="77777777" w:rsidR="007044B5" w:rsidRPr="007044B5" w:rsidRDefault="007044B5" w:rsidP="00AB304A">
            <w:pPr>
              <w:rPr>
                <w:sz w:val="18"/>
                <w:szCs w:val="18"/>
                <w:lang w:val="nl-BE"/>
              </w:rPr>
            </w:pPr>
            <w:r w:rsidRPr="007044B5">
              <w:rPr>
                <w:sz w:val="18"/>
                <w:szCs w:val="18"/>
              </w:rPr>
              <w:t>-49%</w:t>
            </w:r>
          </w:p>
        </w:tc>
      </w:tr>
      <w:tr w:rsidR="007044B5" w:rsidRPr="007044B5" w14:paraId="3772DFE0" w14:textId="77777777" w:rsidTr="0002727C">
        <w:trPr>
          <w:trHeight w:val="340"/>
        </w:trPr>
        <w:tc>
          <w:tcPr>
            <w:tcW w:w="2410" w:type="dxa"/>
          </w:tcPr>
          <w:p w14:paraId="4AD9CC28" w14:textId="1892EA69" w:rsidR="007044B5" w:rsidRPr="008443B0" w:rsidRDefault="008443B0" w:rsidP="001D67D1">
            <w:pPr>
              <w:jc w:val="both"/>
              <w:rPr>
                <w:sz w:val="18"/>
                <w:szCs w:val="18"/>
                <w:lang w:val="nl-BE"/>
              </w:rPr>
            </w:pPr>
            <w:proofErr w:type="spellStart"/>
            <w:r>
              <w:rPr>
                <w:sz w:val="18"/>
                <w:szCs w:val="18"/>
                <w:lang w:val="nl-BE"/>
              </w:rPr>
              <w:t>Hypoglycémiants</w:t>
            </w:r>
            <w:proofErr w:type="spellEnd"/>
          </w:p>
        </w:tc>
        <w:tc>
          <w:tcPr>
            <w:tcW w:w="2126" w:type="dxa"/>
          </w:tcPr>
          <w:p w14:paraId="2079F3FF" w14:textId="77777777" w:rsidR="007044B5" w:rsidRPr="007044B5" w:rsidRDefault="007044B5" w:rsidP="00AB304A">
            <w:pPr>
              <w:rPr>
                <w:sz w:val="18"/>
                <w:szCs w:val="18"/>
                <w:lang w:val="nl-BE"/>
              </w:rPr>
            </w:pPr>
            <w:r w:rsidRPr="007044B5">
              <w:rPr>
                <w:sz w:val="18"/>
                <w:szCs w:val="18"/>
              </w:rPr>
              <w:t>162 403</w:t>
            </w:r>
          </w:p>
        </w:tc>
        <w:tc>
          <w:tcPr>
            <w:tcW w:w="1985" w:type="dxa"/>
          </w:tcPr>
          <w:p w14:paraId="019252D6" w14:textId="77777777" w:rsidR="007044B5" w:rsidRPr="007044B5" w:rsidRDefault="007044B5" w:rsidP="00AB304A">
            <w:pPr>
              <w:rPr>
                <w:sz w:val="18"/>
                <w:szCs w:val="18"/>
                <w:lang w:val="nl-BE"/>
              </w:rPr>
            </w:pPr>
            <w:r w:rsidRPr="007044B5">
              <w:rPr>
                <w:sz w:val="18"/>
                <w:szCs w:val="18"/>
              </w:rPr>
              <w:t>10 9591</w:t>
            </w:r>
          </w:p>
        </w:tc>
        <w:tc>
          <w:tcPr>
            <w:tcW w:w="1276" w:type="dxa"/>
          </w:tcPr>
          <w:p w14:paraId="65807D02" w14:textId="77777777" w:rsidR="007044B5" w:rsidRPr="007044B5" w:rsidRDefault="007044B5" w:rsidP="00AB304A">
            <w:pPr>
              <w:rPr>
                <w:sz w:val="18"/>
                <w:szCs w:val="18"/>
                <w:lang w:val="nl-BE"/>
              </w:rPr>
            </w:pPr>
            <w:r w:rsidRPr="007044B5">
              <w:rPr>
                <w:sz w:val="18"/>
                <w:szCs w:val="18"/>
              </w:rPr>
              <w:t>-52 813</w:t>
            </w:r>
          </w:p>
        </w:tc>
        <w:tc>
          <w:tcPr>
            <w:tcW w:w="1229" w:type="dxa"/>
          </w:tcPr>
          <w:p w14:paraId="0D48A872" w14:textId="77777777" w:rsidR="007044B5" w:rsidRPr="007044B5" w:rsidRDefault="007044B5" w:rsidP="00AB304A">
            <w:pPr>
              <w:rPr>
                <w:sz w:val="18"/>
                <w:szCs w:val="18"/>
                <w:lang w:val="nl-BE"/>
              </w:rPr>
            </w:pPr>
            <w:r w:rsidRPr="007044B5">
              <w:rPr>
                <w:sz w:val="18"/>
                <w:szCs w:val="18"/>
              </w:rPr>
              <w:t>-33%</w:t>
            </w:r>
          </w:p>
        </w:tc>
      </w:tr>
      <w:tr w:rsidR="007044B5" w:rsidRPr="007044B5" w14:paraId="3E6CCD67" w14:textId="77777777" w:rsidTr="0002727C">
        <w:trPr>
          <w:cnfStyle w:val="000000100000" w:firstRow="0" w:lastRow="0" w:firstColumn="0" w:lastColumn="0" w:oddVBand="0" w:evenVBand="0" w:oddHBand="1" w:evenHBand="0" w:firstRowFirstColumn="0" w:firstRowLastColumn="0" w:lastRowFirstColumn="0" w:lastRowLastColumn="0"/>
          <w:trHeight w:val="340"/>
        </w:trPr>
        <w:tc>
          <w:tcPr>
            <w:tcW w:w="2410" w:type="dxa"/>
          </w:tcPr>
          <w:p w14:paraId="4D0372A2" w14:textId="2D8BA7E1" w:rsidR="007044B5" w:rsidRPr="007044B5" w:rsidRDefault="007044B5" w:rsidP="001D67D1">
            <w:pPr>
              <w:jc w:val="both"/>
              <w:rPr>
                <w:sz w:val="18"/>
                <w:szCs w:val="18"/>
                <w:lang w:val="nl-BE"/>
              </w:rPr>
            </w:pPr>
            <w:r w:rsidRPr="007044B5">
              <w:rPr>
                <w:sz w:val="18"/>
                <w:szCs w:val="18"/>
              </w:rPr>
              <w:t>Anti</w:t>
            </w:r>
            <w:proofErr w:type="spellStart"/>
            <w:r w:rsidR="00D37D25">
              <w:rPr>
                <w:sz w:val="18"/>
                <w:szCs w:val="18"/>
                <w:lang w:val="nl-BE"/>
              </w:rPr>
              <w:t>agrégants</w:t>
            </w:r>
            <w:proofErr w:type="spellEnd"/>
          </w:p>
        </w:tc>
        <w:tc>
          <w:tcPr>
            <w:tcW w:w="2126" w:type="dxa"/>
          </w:tcPr>
          <w:p w14:paraId="18519E06" w14:textId="77777777" w:rsidR="007044B5" w:rsidRPr="007044B5" w:rsidRDefault="007044B5" w:rsidP="00AB304A">
            <w:pPr>
              <w:rPr>
                <w:sz w:val="18"/>
                <w:szCs w:val="18"/>
                <w:lang w:val="nl-BE"/>
              </w:rPr>
            </w:pPr>
            <w:r w:rsidRPr="007044B5">
              <w:rPr>
                <w:sz w:val="18"/>
                <w:szCs w:val="18"/>
              </w:rPr>
              <w:t>491 533</w:t>
            </w:r>
          </w:p>
        </w:tc>
        <w:tc>
          <w:tcPr>
            <w:tcW w:w="1985" w:type="dxa"/>
          </w:tcPr>
          <w:p w14:paraId="0E28189C" w14:textId="77777777" w:rsidR="007044B5" w:rsidRPr="007044B5" w:rsidRDefault="007044B5" w:rsidP="00AB304A">
            <w:pPr>
              <w:rPr>
                <w:sz w:val="18"/>
                <w:szCs w:val="18"/>
                <w:lang w:val="nl-BE"/>
              </w:rPr>
            </w:pPr>
            <w:r w:rsidRPr="007044B5">
              <w:rPr>
                <w:sz w:val="18"/>
                <w:szCs w:val="18"/>
              </w:rPr>
              <w:t>366 218</w:t>
            </w:r>
          </w:p>
        </w:tc>
        <w:tc>
          <w:tcPr>
            <w:tcW w:w="1276" w:type="dxa"/>
          </w:tcPr>
          <w:p w14:paraId="3344D6A4" w14:textId="77777777" w:rsidR="007044B5" w:rsidRPr="007044B5" w:rsidRDefault="007044B5" w:rsidP="00AB304A">
            <w:pPr>
              <w:rPr>
                <w:sz w:val="18"/>
                <w:szCs w:val="18"/>
                <w:lang w:val="nl-BE"/>
              </w:rPr>
            </w:pPr>
            <w:r w:rsidRPr="007044B5">
              <w:rPr>
                <w:sz w:val="18"/>
                <w:szCs w:val="18"/>
              </w:rPr>
              <w:t>-125 315</w:t>
            </w:r>
          </w:p>
        </w:tc>
        <w:tc>
          <w:tcPr>
            <w:tcW w:w="1229" w:type="dxa"/>
          </w:tcPr>
          <w:p w14:paraId="72EB0D5E" w14:textId="77777777" w:rsidR="007044B5" w:rsidRPr="007044B5" w:rsidRDefault="007044B5" w:rsidP="00AB304A">
            <w:pPr>
              <w:rPr>
                <w:sz w:val="18"/>
                <w:szCs w:val="18"/>
                <w:lang w:val="nl-BE"/>
              </w:rPr>
            </w:pPr>
            <w:r w:rsidRPr="007044B5">
              <w:rPr>
                <w:sz w:val="18"/>
                <w:szCs w:val="18"/>
              </w:rPr>
              <w:t>-25%</w:t>
            </w:r>
          </w:p>
        </w:tc>
      </w:tr>
      <w:tr w:rsidR="007044B5" w:rsidRPr="007044B5" w14:paraId="553F90D1" w14:textId="77777777" w:rsidTr="0002727C">
        <w:trPr>
          <w:trHeight w:val="340"/>
        </w:trPr>
        <w:tc>
          <w:tcPr>
            <w:tcW w:w="2410" w:type="dxa"/>
          </w:tcPr>
          <w:p w14:paraId="6F10C4CD" w14:textId="77777777" w:rsidR="007044B5" w:rsidRPr="007044B5" w:rsidRDefault="007044B5" w:rsidP="001D67D1">
            <w:pPr>
              <w:jc w:val="both"/>
              <w:rPr>
                <w:sz w:val="18"/>
                <w:szCs w:val="18"/>
                <w:lang w:val="nl-BE"/>
              </w:rPr>
            </w:pPr>
            <w:r w:rsidRPr="007044B5">
              <w:rPr>
                <w:sz w:val="18"/>
                <w:szCs w:val="18"/>
              </w:rPr>
              <w:t>Antibiotiques</w:t>
            </w:r>
          </w:p>
        </w:tc>
        <w:tc>
          <w:tcPr>
            <w:tcW w:w="2126" w:type="dxa"/>
          </w:tcPr>
          <w:p w14:paraId="715AEB40" w14:textId="77777777" w:rsidR="007044B5" w:rsidRPr="007044B5" w:rsidRDefault="007044B5" w:rsidP="00AB304A">
            <w:pPr>
              <w:rPr>
                <w:sz w:val="18"/>
                <w:szCs w:val="18"/>
                <w:lang w:val="nl-BE"/>
              </w:rPr>
            </w:pPr>
            <w:r w:rsidRPr="007044B5">
              <w:rPr>
                <w:sz w:val="18"/>
                <w:szCs w:val="18"/>
              </w:rPr>
              <w:t>44 909</w:t>
            </w:r>
          </w:p>
        </w:tc>
        <w:tc>
          <w:tcPr>
            <w:tcW w:w="1985" w:type="dxa"/>
          </w:tcPr>
          <w:p w14:paraId="47FFDCFA" w14:textId="77777777" w:rsidR="007044B5" w:rsidRPr="007044B5" w:rsidRDefault="007044B5" w:rsidP="00AB304A">
            <w:pPr>
              <w:rPr>
                <w:sz w:val="18"/>
                <w:szCs w:val="18"/>
                <w:lang w:val="nl-BE"/>
              </w:rPr>
            </w:pPr>
            <w:r w:rsidRPr="007044B5">
              <w:rPr>
                <w:sz w:val="18"/>
                <w:szCs w:val="18"/>
              </w:rPr>
              <w:t>34 975</w:t>
            </w:r>
          </w:p>
        </w:tc>
        <w:tc>
          <w:tcPr>
            <w:tcW w:w="1276" w:type="dxa"/>
          </w:tcPr>
          <w:p w14:paraId="3DCD3DDC" w14:textId="77777777" w:rsidR="007044B5" w:rsidRPr="007044B5" w:rsidRDefault="007044B5" w:rsidP="00AB304A">
            <w:pPr>
              <w:rPr>
                <w:sz w:val="18"/>
                <w:szCs w:val="18"/>
                <w:lang w:val="nl-BE"/>
              </w:rPr>
            </w:pPr>
            <w:r w:rsidRPr="007044B5">
              <w:rPr>
                <w:sz w:val="18"/>
                <w:szCs w:val="18"/>
              </w:rPr>
              <w:t>-9934</w:t>
            </w:r>
          </w:p>
        </w:tc>
        <w:tc>
          <w:tcPr>
            <w:tcW w:w="1229" w:type="dxa"/>
          </w:tcPr>
          <w:p w14:paraId="05CAEF00" w14:textId="77777777" w:rsidR="007044B5" w:rsidRPr="007044B5" w:rsidRDefault="007044B5" w:rsidP="00AB304A">
            <w:pPr>
              <w:rPr>
                <w:sz w:val="18"/>
                <w:szCs w:val="18"/>
                <w:lang w:val="nl-BE"/>
              </w:rPr>
            </w:pPr>
            <w:r w:rsidRPr="007044B5">
              <w:rPr>
                <w:sz w:val="18"/>
                <w:szCs w:val="18"/>
              </w:rPr>
              <w:t>-22%</w:t>
            </w:r>
          </w:p>
        </w:tc>
      </w:tr>
      <w:tr w:rsidR="007044B5" w:rsidRPr="007044B5" w14:paraId="494CDBE8" w14:textId="77777777" w:rsidTr="0002727C">
        <w:trPr>
          <w:cnfStyle w:val="000000100000" w:firstRow="0" w:lastRow="0" w:firstColumn="0" w:lastColumn="0" w:oddVBand="0" w:evenVBand="0" w:oddHBand="1" w:evenHBand="0" w:firstRowFirstColumn="0" w:firstRowLastColumn="0" w:lastRowFirstColumn="0" w:lastRowLastColumn="0"/>
          <w:trHeight w:val="340"/>
        </w:trPr>
        <w:tc>
          <w:tcPr>
            <w:tcW w:w="2410" w:type="dxa"/>
          </w:tcPr>
          <w:p w14:paraId="02A37626" w14:textId="61B43263" w:rsidR="007044B5" w:rsidRPr="00D37D25" w:rsidRDefault="007044B5" w:rsidP="001D67D1">
            <w:pPr>
              <w:jc w:val="both"/>
              <w:rPr>
                <w:sz w:val="18"/>
                <w:szCs w:val="18"/>
                <w:lang w:val="nl-BE"/>
              </w:rPr>
            </w:pPr>
            <w:r w:rsidRPr="007044B5">
              <w:rPr>
                <w:sz w:val="18"/>
                <w:szCs w:val="18"/>
              </w:rPr>
              <w:t>Autre</w:t>
            </w:r>
            <w:r w:rsidR="00D37D25">
              <w:rPr>
                <w:sz w:val="18"/>
                <w:szCs w:val="18"/>
                <w:lang w:val="nl-BE"/>
              </w:rPr>
              <w:t>s</w:t>
            </w:r>
          </w:p>
        </w:tc>
        <w:tc>
          <w:tcPr>
            <w:tcW w:w="2126" w:type="dxa"/>
          </w:tcPr>
          <w:p w14:paraId="53F84993" w14:textId="77777777" w:rsidR="007044B5" w:rsidRPr="007044B5" w:rsidRDefault="007044B5" w:rsidP="00AB304A">
            <w:pPr>
              <w:rPr>
                <w:sz w:val="18"/>
                <w:szCs w:val="18"/>
                <w:lang w:val="nl-BE"/>
              </w:rPr>
            </w:pPr>
            <w:r w:rsidRPr="007044B5">
              <w:rPr>
                <w:sz w:val="18"/>
                <w:szCs w:val="18"/>
              </w:rPr>
              <w:t>986 137</w:t>
            </w:r>
          </w:p>
        </w:tc>
        <w:tc>
          <w:tcPr>
            <w:tcW w:w="1985" w:type="dxa"/>
          </w:tcPr>
          <w:p w14:paraId="772B67F7" w14:textId="77777777" w:rsidR="007044B5" w:rsidRPr="007044B5" w:rsidRDefault="007044B5" w:rsidP="00AB304A">
            <w:pPr>
              <w:rPr>
                <w:sz w:val="18"/>
                <w:szCs w:val="18"/>
                <w:lang w:val="nl-BE"/>
              </w:rPr>
            </w:pPr>
            <w:r w:rsidRPr="007044B5">
              <w:rPr>
                <w:sz w:val="18"/>
                <w:szCs w:val="18"/>
              </w:rPr>
              <w:t>770 597</w:t>
            </w:r>
          </w:p>
        </w:tc>
        <w:tc>
          <w:tcPr>
            <w:tcW w:w="1276" w:type="dxa"/>
          </w:tcPr>
          <w:p w14:paraId="57405E39" w14:textId="77777777" w:rsidR="007044B5" w:rsidRPr="007044B5" w:rsidRDefault="007044B5" w:rsidP="00AB304A">
            <w:pPr>
              <w:rPr>
                <w:sz w:val="18"/>
                <w:szCs w:val="18"/>
                <w:lang w:val="nl-BE"/>
              </w:rPr>
            </w:pPr>
            <w:r w:rsidRPr="007044B5">
              <w:rPr>
                <w:sz w:val="18"/>
                <w:szCs w:val="18"/>
              </w:rPr>
              <w:t>-215 540</w:t>
            </w:r>
          </w:p>
        </w:tc>
        <w:tc>
          <w:tcPr>
            <w:tcW w:w="1229" w:type="dxa"/>
          </w:tcPr>
          <w:p w14:paraId="5B6B9556" w14:textId="77777777" w:rsidR="007044B5" w:rsidRPr="007044B5" w:rsidRDefault="007044B5" w:rsidP="00AB304A">
            <w:pPr>
              <w:rPr>
                <w:sz w:val="18"/>
                <w:szCs w:val="18"/>
                <w:lang w:val="nl-BE"/>
              </w:rPr>
            </w:pPr>
            <w:r w:rsidRPr="007044B5">
              <w:rPr>
                <w:sz w:val="18"/>
                <w:szCs w:val="18"/>
              </w:rPr>
              <w:t>-22%</w:t>
            </w:r>
          </w:p>
        </w:tc>
      </w:tr>
      <w:tr w:rsidR="007044B5" w:rsidRPr="007044B5" w14:paraId="745AC38E" w14:textId="77777777" w:rsidTr="0002727C">
        <w:trPr>
          <w:trHeight w:val="340"/>
        </w:trPr>
        <w:tc>
          <w:tcPr>
            <w:tcW w:w="2410" w:type="dxa"/>
          </w:tcPr>
          <w:p w14:paraId="249D410E" w14:textId="000A9162" w:rsidR="007044B5" w:rsidRPr="007044B5" w:rsidRDefault="00D37D25" w:rsidP="001D67D1">
            <w:pPr>
              <w:jc w:val="both"/>
              <w:rPr>
                <w:sz w:val="18"/>
                <w:szCs w:val="18"/>
                <w:lang w:val="nl-BE"/>
              </w:rPr>
            </w:pPr>
            <w:r>
              <w:rPr>
                <w:sz w:val="18"/>
                <w:szCs w:val="18"/>
                <w:lang w:val="nl-BE"/>
              </w:rPr>
              <w:t>Anti-</w:t>
            </w:r>
            <w:proofErr w:type="spellStart"/>
            <w:r>
              <w:rPr>
                <w:sz w:val="18"/>
                <w:szCs w:val="18"/>
                <w:lang w:val="nl-BE"/>
              </w:rPr>
              <w:t>douleurs</w:t>
            </w:r>
            <w:proofErr w:type="spellEnd"/>
          </w:p>
        </w:tc>
        <w:tc>
          <w:tcPr>
            <w:tcW w:w="2126" w:type="dxa"/>
          </w:tcPr>
          <w:p w14:paraId="3FD56D89" w14:textId="77777777" w:rsidR="007044B5" w:rsidRPr="007044B5" w:rsidRDefault="007044B5" w:rsidP="00AB304A">
            <w:pPr>
              <w:rPr>
                <w:sz w:val="18"/>
                <w:szCs w:val="18"/>
                <w:lang w:val="nl-BE"/>
              </w:rPr>
            </w:pPr>
            <w:r w:rsidRPr="007044B5">
              <w:rPr>
                <w:sz w:val="18"/>
                <w:szCs w:val="18"/>
              </w:rPr>
              <w:t>59 225</w:t>
            </w:r>
          </w:p>
        </w:tc>
        <w:tc>
          <w:tcPr>
            <w:tcW w:w="1985" w:type="dxa"/>
          </w:tcPr>
          <w:p w14:paraId="79D7E420" w14:textId="77777777" w:rsidR="007044B5" w:rsidRPr="007044B5" w:rsidRDefault="007044B5" w:rsidP="00AB304A">
            <w:pPr>
              <w:rPr>
                <w:sz w:val="18"/>
                <w:szCs w:val="18"/>
                <w:lang w:val="nl-BE"/>
              </w:rPr>
            </w:pPr>
            <w:r w:rsidRPr="007044B5">
              <w:rPr>
                <w:sz w:val="18"/>
                <w:szCs w:val="18"/>
              </w:rPr>
              <w:t>49 272</w:t>
            </w:r>
          </w:p>
        </w:tc>
        <w:tc>
          <w:tcPr>
            <w:tcW w:w="1276" w:type="dxa"/>
          </w:tcPr>
          <w:p w14:paraId="6A57AB24" w14:textId="77777777" w:rsidR="007044B5" w:rsidRPr="007044B5" w:rsidRDefault="007044B5" w:rsidP="00AB304A">
            <w:pPr>
              <w:rPr>
                <w:sz w:val="18"/>
                <w:szCs w:val="18"/>
                <w:lang w:val="nl-BE"/>
              </w:rPr>
            </w:pPr>
            <w:r w:rsidRPr="007044B5">
              <w:rPr>
                <w:sz w:val="18"/>
                <w:szCs w:val="18"/>
              </w:rPr>
              <w:t>-9953</w:t>
            </w:r>
          </w:p>
        </w:tc>
        <w:tc>
          <w:tcPr>
            <w:tcW w:w="1229" w:type="dxa"/>
          </w:tcPr>
          <w:p w14:paraId="404D664F" w14:textId="77777777" w:rsidR="007044B5" w:rsidRPr="007044B5" w:rsidRDefault="007044B5" w:rsidP="00AB304A">
            <w:pPr>
              <w:rPr>
                <w:sz w:val="18"/>
                <w:szCs w:val="18"/>
                <w:lang w:val="nl-BE"/>
              </w:rPr>
            </w:pPr>
            <w:r w:rsidRPr="007044B5">
              <w:rPr>
                <w:sz w:val="18"/>
                <w:szCs w:val="18"/>
              </w:rPr>
              <w:t>-17%</w:t>
            </w:r>
          </w:p>
        </w:tc>
      </w:tr>
      <w:tr w:rsidR="007044B5" w:rsidRPr="007044B5" w14:paraId="7640E570" w14:textId="77777777" w:rsidTr="0002727C">
        <w:trPr>
          <w:cnfStyle w:val="000000100000" w:firstRow="0" w:lastRow="0" w:firstColumn="0" w:lastColumn="0" w:oddVBand="0" w:evenVBand="0" w:oddHBand="1" w:evenHBand="0" w:firstRowFirstColumn="0" w:firstRowLastColumn="0" w:lastRowFirstColumn="0" w:lastRowLastColumn="0"/>
          <w:trHeight w:val="340"/>
        </w:trPr>
        <w:tc>
          <w:tcPr>
            <w:tcW w:w="2410" w:type="dxa"/>
          </w:tcPr>
          <w:p w14:paraId="590D1D23" w14:textId="49D0BAAE" w:rsidR="007044B5" w:rsidRPr="00D37D25" w:rsidRDefault="00D37D25" w:rsidP="001D67D1">
            <w:pPr>
              <w:jc w:val="both"/>
              <w:rPr>
                <w:sz w:val="18"/>
                <w:szCs w:val="18"/>
                <w:lang w:val="nl-BE"/>
              </w:rPr>
            </w:pPr>
            <w:proofErr w:type="spellStart"/>
            <w:r>
              <w:rPr>
                <w:sz w:val="18"/>
                <w:szCs w:val="18"/>
                <w:lang w:val="nl-BE"/>
              </w:rPr>
              <w:t>Antihypertenseurs</w:t>
            </w:r>
            <w:proofErr w:type="spellEnd"/>
            <w:r>
              <w:rPr>
                <w:sz w:val="18"/>
                <w:szCs w:val="18"/>
                <w:lang w:val="nl-BE"/>
              </w:rPr>
              <w:t xml:space="preserve"> </w:t>
            </w:r>
          </w:p>
        </w:tc>
        <w:tc>
          <w:tcPr>
            <w:tcW w:w="2126" w:type="dxa"/>
          </w:tcPr>
          <w:p w14:paraId="6723BFF9" w14:textId="77777777" w:rsidR="007044B5" w:rsidRPr="007044B5" w:rsidRDefault="007044B5" w:rsidP="00AB304A">
            <w:pPr>
              <w:rPr>
                <w:sz w:val="18"/>
                <w:szCs w:val="18"/>
                <w:lang w:val="nl-BE"/>
              </w:rPr>
            </w:pPr>
            <w:r w:rsidRPr="007044B5">
              <w:rPr>
                <w:sz w:val="18"/>
                <w:szCs w:val="18"/>
              </w:rPr>
              <w:t>942 044</w:t>
            </w:r>
          </w:p>
        </w:tc>
        <w:tc>
          <w:tcPr>
            <w:tcW w:w="1985" w:type="dxa"/>
          </w:tcPr>
          <w:p w14:paraId="6188A1C0" w14:textId="77777777" w:rsidR="007044B5" w:rsidRPr="007044B5" w:rsidRDefault="007044B5" w:rsidP="00AB304A">
            <w:pPr>
              <w:rPr>
                <w:sz w:val="18"/>
                <w:szCs w:val="18"/>
                <w:lang w:val="nl-BE"/>
              </w:rPr>
            </w:pPr>
            <w:r w:rsidRPr="007044B5">
              <w:rPr>
                <w:sz w:val="18"/>
                <w:szCs w:val="18"/>
              </w:rPr>
              <w:t>783 912</w:t>
            </w:r>
          </w:p>
        </w:tc>
        <w:tc>
          <w:tcPr>
            <w:tcW w:w="1276" w:type="dxa"/>
          </w:tcPr>
          <w:p w14:paraId="51B22AF9" w14:textId="77777777" w:rsidR="007044B5" w:rsidRPr="007044B5" w:rsidRDefault="007044B5" w:rsidP="00AB304A">
            <w:pPr>
              <w:rPr>
                <w:sz w:val="18"/>
                <w:szCs w:val="18"/>
                <w:lang w:val="nl-BE"/>
              </w:rPr>
            </w:pPr>
            <w:r w:rsidRPr="007044B5">
              <w:rPr>
                <w:sz w:val="18"/>
                <w:szCs w:val="18"/>
              </w:rPr>
              <w:t>-158 132</w:t>
            </w:r>
          </w:p>
        </w:tc>
        <w:tc>
          <w:tcPr>
            <w:tcW w:w="1229" w:type="dxa"/>
          </w:tcPr>
          <w:p w14:paraId="3B2785B3" w14:textId="77777777" w:rsidR="007044B5" w:rsidRPr="007044B5" w:rsidRDefault="007044B5" w:rsidP="00AB304A">
            <w:pPr>
              <w:rPr>
                <w:sz w:val="18"/>
                <w:szCs w:val="18"/>
                <w:lang w:val="nl-BE"/>
              </w:rPr>
            </w:pPr>
            <w:r w:rsidRPr="007044B5">
              <w:rPr>
                <w:sz w:val="18"/>
                <w:szCs w:val="18"/>
              </w:rPr>
              <w:t>-17%</w:t>
            </w:r>
          </w:p>
        </w:tc>
      </w:tr>
      <w:tr w:rsidR="007044B5" w:rsidRPr="007044B5" w14:paraId="72E6545A" w14:textId="77777777" w:rsidTr="0002727C">
        <w:trPr>
          <w:trHeight w:val="340"/>
        </w:trPr>
        <w:tc>
          <w:tcPr>
            <w:tcW w:w="2410" w:type="dxa"/>
          </w:tcPr>
          <w:p w14:paraId="32AEE97B" w14:textId="77777777" w:rsidR="007044B5" w:rsidRPr="007044B5" w:rsidRDefault="007044B5" w:rsidP="001D67D1">
            <w:pPr>
              <w:jc w:val="both"/>
              <w:rPr>
                <w:sz w:val="18"/>
                <w:szCs w:val="18"/>
                <w:lang w:val="nl-BE"/>
              </w:rPr>
            </w:pPr>
            <w:r w:rsidRPr="007044B5">
              <w:rPr>
                <w:sz w:val="18"/>
                <w:szCs w:val="18"/>
              </w:rPr>
              <w:t>Statines</w:t>
            </w:r>
          </w:p>
        </w:tc>
        <w:tc>
          <w:tcPr>
            <w:tcW w:w="2126" w:type="dxa"/>
          </w:tcPr>
          <w:p w14:paraId="7B3FEDD2" w14:textId="77777777" w:rsidR="007044B5" w:rsidRPr="007044B5" w:rsidRDefault="007044B5" w:rsidP="00AB304A">
            <w:pPr>
              <w:rPr>
                <w:sz w:val="18"/>
                <w:szCs w:val="18"/>
                <w:lang w:val="nl-BE"/>
              </w:rPr>
            </w:pPr>
            <w:r w:rsidRPr="007044B5">
              <w:rPr>
                <w:sz w:val="18"/>
                <w:szCs w:val="18"/>
              </w:rPr>
              <w:t>267 151</w:t>
            </w:r>
          </w:p>
        </w:tc>
        <w:tc>
          <w:tcPr>
            <w:tcW w:w="1985" w:type="dxa"/>
          </w:tcPr>
          <w:p w14:paraId="5E937ED5" w14:textId="77777777" w:rsidR="007044B5" w:rsidRPr="007044B5" w:rsidRDefault="007044B5" w:rsidP="00AB304A">
            <w:pPr>
              <w:rPr>
                <w:sz w:val="18"/>
                <w:szCs w:val="18"/>
                <w:lang w:val="nl-BE"/>
              </w:rPr>
            </w:pPr>
            <w:r w:rsidRPr="007044B5">
              <w:rPr>
                <w:sz w:val="18"/>
                <w:szCs w:val="18"/>
              </w:rPr>
              <w:t>233 280</w:t>
            </w:r>
          </w:p>
        </w:tc>
        <w:tc>
          <w:tcPr>
            <w:tcW w:w="1276" w:type="dxa"/>
          </w:tcPr>
          <w:p w14:paraId="5B75A0CC" w14:textId="77777777" w:rsidR="007044B5" w:rsidRPr="007044B5" w:rsidRDefault="007044B5" w:rsidP="00AB304A">
            <w:pPr>
              <w:rPr>
                <w:sz w:val="18"/>
                <w:szCs w:val="18"/>
                <w:lang w:val="nl-BE"/>
              </w:rPr>
            </w:pPr>
            <w:r w:rsidRPr="007044B5">
              <w:rPr>
                <w:sz w:val="18"/>
                <w:szCs w:val="18"/>
              </w:rPr>
              <w:t>-33 871</w:t>
            </w:r>
          </w:p>
        </w:tc>
        <w:tc>
          <w:tcPr>
            <w:tcW w:w="1229" w:type="dxa"/>
          </w:tcPr>
          <w:p w14:paraId="4AA68FC5" w14:textId="77777777" w:rsidR="007044B5" w:rsidRPr="007044B5" w:rsidRDefault="007044B5" w:rsidP="00AB304A">
            <w:pPr>
              <w:rPr>
                <w:sz w:val="18"/>
                <w:szCs w:val="18"/>
                <w:lang w:val="nl-BE"/>
              </w:rPr>
            </w:pPr>
            <w:r w:rsidRPr="007044B5">
              <w:rPr>
                <w:sz w:val="18"/>
                <w:szCs w:val="18"/>
              </w:rPr>
              <w:t>-13%</w:t>
            </w:r>
          </w:p>
        </w:tc>
      </w:tr>
      <w:tr w:rsidR="007044B5" w:rsidRPr="007044B5" w14:paraId="3769186B" w14:textId="77777777" w:rsidTr="0002727C">
        <w:trPr>
          <w:cnfStyle w:val="000000100000" w:firstRow="0" w:lastRow="0" w:firstColumn="0" w:lastColumn="0" w:oddVBand="0" w:evenVBand="0" w:oddHBand="1" w:evenHBand="0" w:firstRowFirstColumn="0" w:firstRowLastColumn="0" w:lastRowFirstColumn="0" w:lastRowLastColumn="0"/>
          <w:trHeight w:val="340"/>
        </w:trPr>
        <w:tc>
          <w:tcPr>
            <w:tcW w:w="2410" w:type="dxa"/>
          </w:tcPr>
          <w:p w14:paraId="093EEE18" w14:textId="77777777" w:rsidR="007044B5" w:rsidRPr="007044B5" w:rsidRDefault="007044B5" w:rsidP="001D67D1">
            <w:pPr>
              <w:jc w:val="both"/>
              <w:rPr>
                <w:sz w:val="18"/>
                <w:szCs w:val="18"/>
                <w:lang w:val="nl-BE"/>
              </w:rPr>
            </w:pPr>
            <w:r w:rsidRPr="007044B5">
              <w:rPr>
                <w:sz w:val="18"/>
                <w:szCs w:val="18"/>
              </w:rPr>
              <w:t>Antidépresseurs</w:t>
            </w:r>
          </w:p>
        </w:tc>
        <w:tc>
          <w:tcPr>
            <w:tcW w:w="2126" w:type="dxa"/>
          </w:tcPr>
          <w:p w14:paraId="4E40C9B0" w14:textId="77777777" w:rsidR="007044B5" w:rsidRPr="007044B5" w:rsidRDefault="007044B5" w:rsidP="00AB304A">
            <w:pPr>
              <w:rPr>
                <w:sz w:val="18"/>
                <w:szCs w:val="18"/>
                <w:lang w:val="nl-BE"/>
              </w:rPr>
            </w:pPr>
            <w:r w:rsidRPr="007044B5">
              <w:rPr>
                <w:sz w:val="18"/>
                <w:szCs w:val="18"/>
              </w:rPr>
              <w:t>242 164</w:t>
            </w:r>
          </w:p>
        </w:tc>
        <w:tc>
          <w:tcPr>
            <w:tcW w:w="1985" w:type="dxa"/>
          </w:tcPr>
          <w:p w14:paraId="26863CE8" w14:textId="77777777" w:rsidR="007044B5" w:rsidRPr="007044B5" w:rsidRDefault="007044B5" w:rsidP="00AB304A">
            <w:pPr>
              <w:rPr>
                <w:sz w:val="18"/>
                <w:szCs w:val="18"/>
                <w:lang w:val="nl-BE"/>
              </w:rPr>
            </w:pPr>
            <w:r w:rsidRPr="007044B5">
              <w:rPr>
                <w:sz w:val="18"/>
                <w:szCs w:val="18"/>
              </w:rPr>
              <w:t>223 553</w:t>
            </w:r>
          </w:p>
        </w:tc>
        <w:tc>
          <w:tcPr>
            <w:tcW w:w="1276" w:type="dxa"/>
          </w:tcPr>
          <w:p w14:paraId="06DB4D34" w14:textId="77777777" w:rsidR="007044B5" w:rsidRPr="007044B5" w:rsidRDefault="007044B5" w:rsidP="00AB304A">
            <w:pPr>
              <w:rPr>
                <w:sz w:val="18"/>
                <w:szCs w:val="18"/>
                <w:lang w:val="nl-BE"/>
              </w:rPr>
            </w:pPr>
            <w:r w:rsidRPr="007044B5">
              <w:rPr>
                <w:sz w:val="18"/>
                <w:szCs w:val="18"/>
              </w:rPr>
              <w:t>-18 611</w:t>
            </w:r>
          </w:p>
        </w:tc>
        <w:tc>
          <w:tcPr>
            <w:tcW w:w="1229" w:type="dxa"/>
          </w:tcPr>
          <w:p w14:paraId="262D6ADB" w14:textId="77777777" w:rsidR="007044B5" w:rsidRPr="007044B5" w:rsidRDefault="007044B5" w:rsidP="00AB304A">
            <w:pPr>
              <w:rPr>
                <w:sz w:val="18"/>
                <w:szCs w:val="18"/>
                <w:lang w:val="nl-BE"/>
              </w:rPr>
            </w:pPr>
            <w:r w:rsidRPr="007044B5">
              <w:rPr>
                <w:sz w:val="18"/>
                <w:szCs w:val="18"/>
              </w:rPr>
              <w:t>-8%</w:t>
            </w:r>
          </w:p>
        </w:tc>
      </w:tr>
      <w:tr w:rsidR="007044B5" w:rsidRPr="007044B5" w14:paraId="49472BF5" w14:textId="77777777" w:rsidTr="0002727C">
        <w:trPr>
          <w:trHeight w:val="340"/>
        </w:trPr>
        <w:tc>
          <w:tcPr>
            <w:tcW w:w="2410" w:type="dxa"/>
          </w:tcPr>
          <w:p w14:paraId="55DA97F0" w14:textId="77777777" w:rsidR="007044B5" w:rsidRPr="00D37D25" w:rsidRDefault="007044B5" w:rsidP="001D67D1">
            <w:pPr>
              <w:jc w:val="both"/>
              <w:rPr>
                <w:sz w:val="18"/>
                <w:szCs w:val="18"/>
              </w:rPr>
            </w:pPr>
            <w:r w:rsidRPr="007044B5">
              <w:rPr>
                <w:sz w:val="18"/>
                <w:szCs w:val="18"/>
              </w:rPr>
              <w:t>Inhibiteurs de la pompe à protons</w:t>
            </w:r>
          </w:p>
        </w:tc>
        <w:tc>
          <w:tcPr>
            <w:tcW w:w="2126" w:type="dxa"/>
          </w:tcPr>
          <w:p w14:paraId="3E03AE93" w14:textId="77777777" w:rsidR="007044B5" w:rsidRPr="007044B5" w:rsidRDefault="007044B5" w:rsidP="00AB304A">
            <w:pPr>
              <w:rPr>
                <w:sz w:val="18"/>
                <w:szCs w:val="18"/>
                <w:lang w:val="nl-BE"/>
              </w:rPr>
            </w:pPr>
            <w:r w:rsidRPr="007044B5">
              <w:rPr>
                <w:sz w:val="18"/>
                <w:szCs w:val="18"/>
              </w:rPr>
              <w:t>277 167</w:t>
            </w:r>
          </w:p>
        </w:tc>
        <w:tc>
          <w:tcPr>
            <w:tcW w:w="1985" w:type="dxa"/>
          </w:tcPr>
          <w:p w14:paraId="2E4D15D2" w14:textId="77777777" w:rsidR="007044B5" w:rsidRPr="007044B5" w:rsidRDefault="007044B5" w:rsidP="00AB304A">
            <w:pPr>
              <w:rPr>
                <w:sz w:val="18"/>
                <w:szCs w:val="18"/>
                <w:lang w:val="nl-BE"/>
              </w:rPr>
            </w:pPr>
            <w:r w:rsidRPr="007044B5">
              <w:rPr>
                <w:sz w:val="18"/>
                <w:szCs w:val="18"/>
              </w:rPr>
              <w:t>270 081</w:t>
            </w:r>
          </w:p>
        </w:tc>
        <w:tc>
          <w:tcPr>
            <w:tcW w:w="1276" w:type="dxa"/>
          </w:tcPr>
          <w:p w14:paraId="5E4AD9A7" w14:textId="77777777" w:rsidR="007044B5" w:rsidRPr="007044B5" w:rsidRDefault="007044B5" w:rsidP="00AB304A">
            <w:pPr>
              <w:rPr>
                <w:sz w:val="18"/>
                <w:szCs w:val="18"/>
                <w:lang w:val="nl-BE"/>
              </w:rPr>
            </w:pPr>
            <w:r w:rsidRPr="007044B5">
              <w:rPr>
                <w:sz w:val="18"/>
                <w:szCs w:val="18"/>
              </w:rPr>
              <w:t>-7086</w:t>
            </w:r>
          </w:p>
        </w:tc>
        <w:tc>
          <w:tcPr>
            <w:tcW w:w="1229" w:type="dxa"/>
          </w:tcPr>
          <w:p w14:paraId="788CB6A1" w14:textId="77777777" w:rsidR="007044B5" w:rsidRPr="007044B5" w:rsidRDefault="007044B5" w:rsidP="00AB304A">
            <w:pPr>
              <w:rPr>
                <w:sz w:val="18"/>
                <w:szCs w:val="18"/>
                <w:lang w:val="nl-BE"/>
              </w:rPr>
            </w:pPr>
            <w:r w:rsidRPr="007044B5">
              <w:rPr>
                <w:sz w:val="18"/>
                <w:szCs w:val="18"/>
              </w:rPr>
              <w:t>-3%</w:t>
            </w:r>
          </w:p>
        </w:tc>
      </w:tr>
      <w:tr w:rsidR="007044B5" w:rsidRPr="007044B5" w14:paraId="6E420C1E" w14:textId="77777777" w:rsidTr="0002727C">
        <w:trPr>
          <w:cnfStyle w:val="000000100000" w:firstRow="0" w:lastRow="0" w:firstColumn="0" w:lastColumn="0" w:oddVBand="0" w:evenVBand="0" w:oddHBand="1" w:evenHBand="0" w:firstRowFirstColumn="0" w:firstRowLastColumn="0" w:lastRowFirstColumn="0" w:lastRowLastColumn="0"/>
          <w:trHeight w:val="340"/>
        </w:trPr>
        <w:tc>
          <w:tcPr>
            <w:tcW w:w="2410" w:type="dxa"/>
          </w:tcPr>
          <w:p w14:paraId="4A6E3E61" w14:textId="77777777" w:rsidR="007044B5" w:rsidRPr="007044B5" w:rsidRDefault="007044B5" w:rsidP="001D67D1">
            <w:pPr>
              <w:jc w:val="both"/>
              <w:rPr>
                <w:sz w:val="18"/>
                <w:szCs w:val="18"/>
              </w:rPr>
            </w:pPr>
            <w:r w:rsidRPr="007044B5">
              <w:rPr>
                <w:sz w:val="18"/>
                <w:szCs w:val="18"/>
              </w:rPr>
              <w:t>Antipsychotiques</w:t>
            </w:r>
          </w:p>
        </w:tc>
        <w:tc>
          <w:tcPr>
            <w:tcW w:w="2126" w:type="dxa"/>
          </w:tcPr>
          <w:p w14:paraId="025BEA0E" w14:textId="77777777" w:rsidR="007044B5" w:rsidRPr="007044B5" w:rsidRDefault="007044B5" w:rsidP="00AB304A">
            <w:pPr>
              <w:rPr>
                <w:sz w:val="18"/>
                <w:szCs w:val="18"/>
              </w:rPr>
            </w:pPr>
            <w:r w:rsidRPr="007044B5">
              <w:rPr>
                <w:sz w:val="18"/>
                <w:szCs w:val="18"/>
              </w:rPr>
              <w:t>42 029</w:t>
            </w:r>
          </w:p>
        </w:tc>
        <w:tc>
          <w:tcPr>
            <w:tcW w:w="1985" w:type="dxa"/>
          </w:tcPr>
          <w:p w14:paraId="1B2ED442" w14:textId="77777777" w:rsidR="007044B5" w:rsidRPr="007044B5" w:rsidRDefault="007044B5" w:rsidP="00AB304A">
            <w:pPr>
              <w:rPr>
                <w:sz w:val="18"/>
                <w:szCs w:val="18"/>
              </w:rPr>
            </w:pPr>
            <w:r w:rsidRPr="007044B5">
              <w:rPr>
                <w:sz w:val="18"/>
                <w:szCs w:val="18"/>
              </w:rPr>
              <w:t>45 279</w:t>
            </w:r>
          </w:p>
        </w:tc>
        <w:tc>
          <w:tcPr>
            <w:tcW w:w="1276" w:type="dxa"/>
          </w:tcPr>
          <w:p w14:paraId="6E91B228" w14:textId="77777777" w:rsidR="007044B5" w:rsidRPr="007044B5" w:rsidRDefault="007044B5" w:rsidP="00AB304A">
            <w:pPr>
              <w:rPr>
                <w:sz w:val="18"/>
                <w:szCs w:val="18"/>
              </w:rPr>
            </w:pPr>
            <w:r w:rsidRPr="007044B5">
              <w:rPr>
                <w:sz w:val="18"/>
                <w:szCs w:val="18"/>
              </w:rPr>
              <w:t>3250</w:t>
            </w:r>
          </w:p>
        </w:tc>
        <w:tc>
          <w:tcPr>
            <w:tcW w:w="1229" w:type="dxa"/>
          </w:tcPr>
          <w:p w14:paraId="666C92A1" w14:textId="77777777" w:rsidR="007044B5" w:rsidRPr="007044B5" w:rsidRDefault="007044B5" w:rsidP="00AB304A">
            <w:pPr>
              <w:rPr>
                <w:sz w:val="18"/>
                <w:szCs w:val="18"/>
              </w:rPr>
            </w:pPr>
            <w:r w:rsidRPr="007044B5">
              <w:rPr>
                <w:sz w:val="18"/>
                <w:szCs w:val="18"/>
              </w:rPr>
              <w:t>8%</w:t>
            </w:r>
          </w:p>
        </w:tc>
      </w:tr>
      <w:tr w:rsidR="007044B5" w:rsidRPr="007044B5" w14:paraId="5469C374" w14:textId="77777777" w:rsidTr="0002727C">
        <w:trPr>
          <w:trHeight w:val="340"/>
        </w:trPr>
        <w:tc>
          <w:tcPr>
            <w:tcW w:w="2410" w:type="dxa"/>
          </w:tcPr>
          <w:p w14:paraId="76D7CEBC" w14:textId="77777777" w:rsidR="007044B5" w:rsidRPr="007044B5" w:rsidRDefault="007044B5" w:rsidP="001D67D1">
            <w:pPr>
              <w:jc w:val="both"/>
              <w:rPr>
                <w:sz w:val="18"/>
                <w:szCs w:val="18"/>
                <w:lang w:val="en-US"/>
              </w:rPr>
            </w:pPr>
            <w:r w:rsidRPr="007044B5">
              <w:rPr>
                <w:sz w:val="18"/>
                <w:szCs w:val="18"/>
                <w:lang w:val="en-US"/>
              </w:rPr>
              <w:t>TOTAL</w:t>
            </w:r>
          </w:p>
        </w:tc>
        <w:tc>
          <w:tcPr>
            <w:tcW w:w="2126" w:type="dxa"/>
          </w:tcPr>
          <w:p w14:paraId="5022FB9B" w14:textId="514CD4FC" w:rsidR="007044B5" w:rsidRPr="007044B5" w:rsidRDefault="007044B5" w:rsidP="00AB304A">
            <w:pPr>
              <w:rPr>
                <w:sz w:val="18"/>
                <w:szCs w:val="18"/>
              </w:rPr>
            </w:pPr>
            <w:r w:rsidRPr="007044B5">
              <w:rPr>
                <w:sz w:val="18"/>
                <w:szCs w:val="18"/>
              </w:rPr>
              <w:t xml:space="preserve">3 535 </w:t>
            </w:r>
            <w:r w:rsidRPr="007044B5">
              <w:rPr>
                <w:sz w:val="18"/>
                <w:szCs w:val="18"/>
                <w:lang w:val="en-US"/>
              </w:rPr>
              <w:t>277</w:t>
            </w:r>
          </w:p>
        </w:tc>
        <w:tc>
          <w:tcPr>
            <w:tcW w:w="1985" w:type="dxa"/>
          </w:tcPr>
          <w:p w14:paraId="691B4624" w14:textId="77777777" w:rsidR="007044B5" w:rsidRPr="007044B5" w:rsidRDefault="007044B5" w:rsidP="00AB304A">
            <w:pPr>
              <w:rPr>
                <w:sz w:val="18"/>
                <w:szCs w:val="18"/>
              </w:rPr>
            </w:pPr>
            <w:r w:rsidRPr="007044B5">
              <w:rPr>
                <w:sz w:val="18"/>
                <w:szCs w:val="18"/>
              </w:rPr>
              <w:t xml:space="preserve">2 897 </w:t>
            </w:r>
            <w:r w:rsidRPr="007044B5">
              <w:rPr>
                <w:sz w:val="18"/>
                <w:szCs w:val="18"/>
                <w:lang w:val="en-US"/>
              </w:rPr>
              <w:t>199</w:t>
            </w:r>
          </w:p>
        </w:tc>
        <w:tc>
          <w:tcPr>
            <w:tcW w:w="1276" w:type="dxa"/>
          </w:tcPr>
          <w:p w14:paraId="565ED54D" w14:textId="77777777" w:rsidR="007044B5" w:rsidRPr="007044B5" w:rsidRDefault="007044B5" w:rsidP="00AB304A">
            <w:pPr>
              <w:rPr>
                <w:sz w:val="18"/>
                <w:szCs w:val="18"/>
              </w:rPr>
            </w:pPr>
            <w:r w:rsidRPr="007044B5">
              <w:rPr>
                <w:sz w:val="18"/>
                <w:szCs w:val="18"/>
              </w:rPr>
              <w:t xml:space="preserve">-638 </w:t>
            </w:r>
            <w:r w:rsidRPr="007044B5">
              <w:rPr>
                <w:sz w:val="18"/>
                <w:szCs w:val="18"/>
                <w:lang w:val="en-US"/>
              </w:rPr>
              <w:t>077</w:t>
            </w:r>
          </w:p>
        </w:tc>
        <w:tc>
          <w:tcPr>
            <w:tcW w:w="1229" w:type="dxa"/>
          </w:tcPr>
          <w:p w14:paraId="0F29DF57" w14:textId="77777777" w:rsidR="007044B5" w:rsidRPr="007044B5" w:rsidRDefault="007044B5" w:rsidP="00AB304A">
            <w:pPr>
              <w:rPr>
                <w:sz w:val="18"/>
                <w:szCs w:val="18"/>
              </w:rPr>
            </w:pPr>
            <w:r w:rsidRPr="007044B5">
              <w:rPr>
                <w:sz w:val="18"/>
                <w:szCs w:val="18"/>
              </w:rPr>
              <w:t>-18%</w:t>
            </w:r>
          </w:p>
        </w:tc>
      </w:tr>
      <w:tr w:rsidR="007044B5" w:rsidRPr="007044B5" w14:paraId="06650166" w14:textId="77777777" w:rsidTr="0002727C">
        <w:trPr>
          <w:cnfStyle w:val="010000000000" w:firstRow="0" w:lastRow="1" w:firstColumn="0" w:lastColumn="0" w:oddVBand="0" w:evenVBand="0" w:oddHBand="0" w:evenHBand="0" w:firstRowFirstColumn="0" w:firstRowLastColumn="0" w:lastRowFirstColumn="0" w:lastRowLastColumn="0"/>
        </w:trPr>
        <w:tc>
          <w:tcPr>
            <w:tcW w:w="2410" w:type="dxa"/>
          </w:tcPr>
          <w:p w14:paraId="787C117A" w14:textId="77777777" w:rsidR="007044B5" w:rsidRPr="007044B5" w:rsidRDefault="007044B5" w:rsidP="001D67D1">
            <w:pPr>
              <w:jc w:val="both"/>
              <w:rPr>
                <w:sz w:val="18"/>
                <w:szCs w:val="18"/>
              </w:rPr>
            </w:pPr>
          </w:p>
        </w:tc>
        <w:tc>
          <w:tcPr>
            <w:tcW w:w="2126" w:type="dxa"/>
          </w:tcPr>
          <w:p w14:paraId="4AB77B71" w14:textId="77777777" w:rsidR="007044B5" w:rsidRPr="007044B5" w:rsidRDefault="007044B5" w:rsidP="001D67D1">
            <w:pPr>
              <w:jc w:val="both"/>
              <w:rPr>
                <w:sz w:val="18"/>
                <w:szCs w:val="18"/>
              </w:rPr>
            </w:pPr>
          </w:p>
        </w:tc>
        <w:tc>
          <w:tcPr>
            <w:tcW w:w="1985" w:type="dxa"/>
          </w:tcPr>
          <w:p w14:paraId="7C077D48" w14:textId="77777777" w:rsidR="007044B5" w:rsidRPr="007044B5" w:rsidRDefault="007044B5" w:rsidP="001D67D1">
            <w:pPr>
              <w:jc w:val="both"/>
              <w:rPr>
                <w:sz w:val="18"/>
                <w:szCs w:val="18"/>
              </w:rPr>
            </w:pPr>
          </w:p>
        </w:tc>
        <w:tc>
          <w:tcPr>
            <w:tcW w:w="1276" w:type="dxa"/>
          </w:tcPr>
          <w:p w14:paraId="465E2E30" w14:textId="77777777" w:rsidR="007044B5" w:rsidRPr="007044B5" w:rsidRDefault="007044B5" w:rsidP="001D67D1">
            <w:pPr>
              <w:jc w:val="both"/>
              <w:rPr>
                <w:sz w:val="18"/>
                <w:szCs w:val="18"/>
              </w:rPr>
            </w:pPr>
          </w:p>
        </w:tc>
        <w:tc>
          <w:tcPr>
            <w:tcW w:w="1229" w:type="dxa"/>
          </w:tcPr>
          <w:p w14:paraId="261ECB2B" w14:textId="77777777" w:rsidR="007044B5" w:rsidRPr="007044B5" w:rsidRDefault="007044B5" w:rsidP="001D67D1">
            <w:pPr>
              <w:jc w:val="both"/>
              <w:rPr>
                <w:sz w:val="18"/>
                <w:szCs w:val="18"/>
              </w:rPr>
            </w:pPr>
          </w:p>
        </w:tc>
      </w:tr>
    </w:tbl>
    <w:p w14:paraId="6BF3522F" w14:textId="77777777" w:rsidR="007044B5" w:rsidRDefault="007044B5" w:rsidP="001D67D1">
      <w:pPr>
        <w:jc w:val="both"/>
      </w:pPr>
      <w:r>
        <w:t>Source : Solidaris</w:t>
      </w:r>
    </w:p>
    <w:p w14:paraId="4F8DEAA5" w14:textId="77777777" w:rsidR="000F2E17" w:rsidRPr="00365CC3" w:rsidRDefault="000F2E17" w:rsidP="001D67D1">
      <w:pPr>
        <w:jc w:val="both"/>
        <w:rPr>
          <w:lang w:val="fr-BE"/>
        </w:rPr>
      </w:pPr>
    </w:p>
    <w:p w14:paraId="293891FA" w14:textId="7A394DE7" w:rsidR="00A60BEA" w:rsidRPr="00A60BEA" w:rsidRDefault="00A60BEA" w:rsidP="001D67D1">
      <w:pPr>
        <w:pStyle w:val="Titre2"/>
        <w:jc w:val="both"/>
        <w:rPr>
          <w:lang w:val="fr-BE"/>
        </w:rPr>
      </w:pPr>
      <w:bookmarkStart w:id="16" w:name="_Toc130195926"/>
      <w:r w:rsidRPr="00A60BEA">
        <w:rPr>
          <w:lang w:val="fr-BE"/>
        </w:rPr>
        <w:t>Polymédication avant et après l’entrée en maison de repos</w:t>
      </w:r>
      <w:bookmarkEnd w:id="16"/>
    </w:p>
    <w:p w14:paraId="2C122609" w14:textId="130C255D" w:rsidR="00A60BEA" w:rsidRDefault="00A60BEA" w:rsidP="001D67D1">
      <w:pPr>
        <w:spacing w:after="0"/>
        <w:jc w:val="both"/>
        <w:rPr>
          <w:rFonts w:cs="Arial"/>
          <w:szCs w:val="20"/>
          <w:lang w:val="fr-BE"/>
        </w:rPr>
      </w:pPr>
      <w:r w:rsidRPr="00A60BEA">
        <w:rPr>
          <w:rFonts w:cs="Arial"/>
          <w:szCs w:val="20"/>
          <w:lang w:val="fr-BE"/>
        </w:rPr>
        <w:t>Nous nous intéressons à la polymédication sur base du nombre de systèmes traités (ATC-1</w:t>
      </w:r>
      <w:r w:rsidRPr="00A60BEA">
        <w:rPr>
          <w:rFonts w:cs="Arial"/>
          <w:szCs w:val="20"/>
          <w:vertAlign w:val="superscript"/>
          <w:lang w:val="fr-BE"/>
        </w:rPr>
        <w:t>er</w:t>
      </w:r>
      <w:r w:rsidRPr="00A60BEA">
        <w:rPr>
          <w:rFonts w:cs="Arial"/>
          <w:szCs w:val="20"/>
          <w:lang w:val="fr-BE"/>
        </w:rPr>
        <w:t xml:space="preserve"> niveau) et sur base du nombre de classes thérapeutiques délivrées (ATC-4</w:t>
      </w:r>
      <w:r w:rsidRPr="00A60BEA">
        <w:rPr>
          <w:rFonts w:cs="Arial"/>
          <w:szCs w:val="20"/>
          <w:vertAlign w:val="superscript"/>
          <w:lang w:val="fr-BE"/>
        </w:rPr>
        <w:t>ème</w:t>
      </w:r>
      <w:r w:rsidRPr="00A60BEA">
        <w:rPr>
          <w:rFonts w:cs="Arial"/>
          <w:szCs w:val="20"/>
          <w:lang w:val="fr-BE"/>
        </w:rPr>
        <w:t xml:space="preserve"> niveau)</w:t>
      </w:r>
      <w:r w:rsidRPr="00A60BEA">
        <w:rPr>
          <w:rStyle w:val="Appelnotedebasdep"/>
          <w:rFonts w:cs="Arial"/>
          <w:szCs w:val="20"/>
          <w:lang w:val="fr-BE"/>
        </w:rPr>
        <w:footnoteReference w:id="28"/>
      </w:r>
      <w:r w:rsidRPr="00A60BEA">
        <w:rPr>
          <w:rFonts w:cs="Arial"/>
          <w:szCs w:val="20"/>
          <w:lang w:val="fr-BE"/>
        </w:rPr>
        <w:t>.</w:t>
      </w:r>
      <w:r w:rsidR="003152AD">
        <w:rPr>
          <w:rFonts w:cs="Arial"/>
          <w:szCs w:val="20"/>
          <w:lang w:val="fr-BE"/>
        </w:rPr>
        <w:t xml:space="preserve"> </w:t>
      </w:r>
      <w:r w:rsidR="00B53814">
        <w:rPr>
          <w:rFonts w:cs="Arial"/>
          <w:szCs w:val="20"/>
          <w:lang w:val="fr-BE"/>
        </w:rPr>
        <w:t>Le Tableau 5</w:t>
      </w:r>
      <w:r w:rsidRPr="00A60BEA">
        <w:rPr>
          <w:rFonts w:cs="Arial"/>
          <w:szCs w:val="20"/>
          <w:lang w:val="fr-BE"/>
        </w:rPr>
        <w:t xml:space="preserve"> donne la distribution des affiliés</w:t>
      </w:r>
      <w:r w:rsidRPr="00A60BEA">
        <w:rPr>
          <w:rStyle w:val="Appelnotedebasdep"/>
          <w:rFonts w:cs="Arial"/>
          <w:szCs w:val="20"/>
          <w:lang w:val="fr-BE"/>
        </w:rPr>
        <w:footnoteReference w:id="29"/>
      </w:r>
      <w:r w:rsidRPr="00A60BEA">
        <w:rPr>
          <w:rFonts w:cs="Arial"/>
          <w:szCs w:val="20"/>
          <w:lang w:val="fr-BE"/>
        </w:rPr>
        <w:t xml:space="preserve"> selon le nombre de systèmes traités </w:t>
      </w:r>
      <w:r w:rsidR="006E690D">
        <w:rPr>
          <w:rFonts w:cs="Arial"/>
          <w:szCs w:val="20"/>
          <w:lang w:val="fr-BE"/>
        </w:rPr>
        <w:t>(ATC-1</w:t>
      </w:r>
      <w:r w:rsidR="006E690D" w:rsidRPr="006E690D">
        <w:rPr>
          <w:rFonts w:cs="Arial"/>
          <w:szCs w:val="20"/>
          <w:vertAlign w:val="superscript"/>
          <w:lang w:val="fr-BE"/>
        </w:rPr>
        <w:t>er</w:t>
      </w:r>
      <w:r w:rsidR="006E690D">
        <w:rPr>
          <w:rFonts w:cs="Arial"/>
          <w:szCs w:val="20"/>
          <w:lang w:val="fr-BE"/>
        </w:rPr>
        <w:t xml:space="preserve"> niveau) </w:t>
      </w:r>
      <w:r w:rsidRPr="00A60BEA">
        <w:rPr>
          <w:rFonts w:cs="Arial"/>
          <w:szCs w:val="20"/>
          <w:lang w:val="fr-BE"/>
        </w:rPr>
        <w:t xml:space="preserve">au cours des six mois précédant et des six mois suivant l’entrée en maison de repos. Il existe peu de différence au niveau de la polymédication avant et après l’entrée en maison de repos, ceci étant vrai tout au long de la distribution. </w:t>
      </w:r>
      <w:r w:rsidR="006E690D">
        <w:rPr>
          <w:rFonts w:cs="Arial"/>
          <w:szCs w:val="20"/>
          <w:lang w:val="fr-BE"/>
        </w:rPr>
        <w:t>La moitié des</w:t>
      </w:r>
      <w:r w:rsidRPr="00A60BEA">
        <w:rPr>
          <w:rFonts w:cs="Arial"/>
          <w:szCs w:val="20"/>
          <w:lang w:val="fr-BE"/>
        </w:rPr>
        <w:t xml:space="preserve"> affilié</w:t>
      </w:r>
      <w:r w:rsidR="006E690D">
        <w:rPr>
          <w:rFonts w:cs="Arial"/>
          <w:szCs w:val="20"/>
          <w:lang w:val="fr-BE"/>
        </w:rPr>
        <w:t>s (P50 ou médiane)</w:t>
      </w:r>
      <w:r w:rsidRPr="00A60BEA">
        <w:rPr>
          <w:rFonts w:cs="Arial"/>
          <w:szCs w:val="20"/>
          <w:lang w:val="fr-BE"/>
        </w:rPr>
        <w:t xml:space="preserve"> </w:t>
      </w:r>
      <w:r w:rsidR="006E690D">
        <w:rPr>
          <w:rFonts w:cs="Arial"/>
          <w:szCs w:val="20"/>
          <w:lang w:val="fr-BE"/>
        </w:rPr>
        <w:t>prend 4 types de médicaments différents après leur entrée en maison de repos contre 5 lorsqu’ils vivaient à domicile</w:t>
      </w:r>
      <w:r w:rsidRPr="00A60BEA">
        <w:rPr>
          <w:rFonts w:cs="Arial"/>
          <w:szCs w:val="20"/>
          <w:lang w:val="fr-BE"/>
        </w:rPr>
        <w:t xml:space="preserve">. </w:t>
      </w:r>
    </w:p>
    <w:p w14:paraId="4AC3BFC8" w14:textId="77777777" w:rsidR="00B53814" w:rsidRDefault="00B53814" w:rsidP="001D67D1">
      <w:pPr>
        <w:spacing w:after="0"/>
        <w:jc w:val="both"/>
        <w:rPr>
          <w:rFonts w:cs="Arial"/>
          <w:szCs w:val="20"/>
          <w:lang w:val="fr-BE"/>
        </w:rPr>
      </w:pPr>
    </w:p>
    <w:p w14:paraId="54ED8776" w14:textId="77777777" w:rsidR="00683B70" w:rsidRDefault="00683B70" w:rsidP="007D60F6">
      <w:pPr>
        <w:pStyle w:val="Tableau"/>
      </w:pPr>
      <w:bookmarkStart w:id="17" w:name="_Toc130195833"/>
      <w:r>
        <w:br w:type="page"/>
      </w:r>
    </w:p>
    <w:p w14:paraId="0BF5ED2D" w14:textId="3ED6E3CA" w:rsidR="00B53814" w:rsidRPr="007D60F6" w:rsidRDefault="00B53814" w:rsidP="007D60F6">
      <w:pPr>
        <w:pStyle w:val="Tableau"/>
      </w:pPr>
      <w:r w:rsidRPr="007D60F6">
        <w:lastRenderedPageBreak/>
        <w:t>Tableau 5 : Distribution des affiliés selon le nombre de systèmes (ATC-1er niveau) traités par affilié 6 mois avant et 6 mois après l’entrée en maison de repos, 2020-2021</w:t>
      </w:r>
      <w:bookmarkEnd w:id="17"/>
    </w:p>
    <w:tbl>
      <w:tblPr>
        <w:tblStyle w:val="Solidaris"/>
        <w:tblW w:w="0" w:type="auto"/>
        <w:tblLook w:val="04E0" w:firstRow="1" w:lastRow="1" w:firstColumn="1" w:lastColumn="0" w:noHBand="0" w:noVBand="1"/>
      </w:tblPr>
      <w:tblGrid>
        <w:gridCol w:w="1560"/>
        <w:gridCol w:w="992"/>
        <w:gridCol w:w="850"/>
        <w:gridCol w:w="851"/>
        <w:gridCol w:w="888"/>
        <w:gridCol w:w="840"/>
        <w:gridCol w:w="838"/>
        <w:gridCol w:w="838"/>
        <w:gridCol w:w="1369"/>
      </w:tblGrid>
      <w:tr w:rsidR="00B53814" w:rsidRPr="004F39C3" w14:paraId="33F48A3E" w14:textId="77777777" w:rsidTr="00EC542A">
        <w:trPr>
          <w:cnfStyle w:val="100000000000" w:firstRow="1" w:lastRow="0" w:firstColumn="0" w:lastColumn="0" w:oddVBand="0" w:evenVBand="0" w:oddHBand="0" w:evenHBand="0" w:firstRowFirstColumn="0" w:firstRowLastColumn="0" w:lastRowFirstColumn="0" w:lastRowLastColumn="0"/>
        </w:trPr>
        <w:tc>
          <w:tcPr>
            <w:tcW w:w="1560" w:type="dxa"/>
          </w:tcPr>
          <w:p w14:paraId="7498941D" w14:textId="77777777" w:rsidR="00B53814" w:rsidRPr="004F39C3" w:rsidRDefault="00B53814" w:rsidP="001D67D1">
            <w:pPr>
              <w:jc w:val="both"/>
              <w:rPr>
                <w:sz w:val="18"/>
                <w:szCs w:val="18"/>
              </w:rPr>
            </w:pPr>
          </w:p>
        </w:tc>
        <w:tc>
          <w:tcPr>
            <w:tcW w:w="992" w:type="dxa"/>
          </w:tcPr>
          <w:p w14:paraId="1C77024A" w14:textId="77777777" w:rsidR="00B53814" w:rsidRPr="004F39C3" w:rsidRDefault="00B53814" w:rsidP="00FA009F">
            <w:pPr>
              <w:rPr>
                <w:sz w:val="18"/>
                <w:szCs w:val="18"/>
                <w:lang w:val="nl-BE"/>
              </w:rPr>
            </w:pPr>
            <w:r w:rsidRPr="004F39C3">
              <w:rPr>
                <w:rFonts w:eastAsia="Times New Roman"/>
                <w:color w:val="FFFFFF" w:themeColor="background1"/>
                <w:sz w:val="18"/>
                <w:szCs w:val="18"/>
                <w:lang w:val="nl-BE" w:eastAsia="en-US"/>
              </w:rPr>
              <w:t>P5</w:t>
            </w:r>
          </w:p>
        </w:tc>
        <w:tc>
          <w:tcPr>
            <w:tcW w:w="850" w:type="dxa"/>
          </w:tcPr>
          <w:p w14:paraId="1C9F9E23" w14:textId="77777777" w:rsidR="00B53814" w:rsidRPr="004F39C3" w:rsidRDefault="00B53814" w:rsidP="00FA009F">
            <w:pPr>
              <w:rPr>
                <w:sz w:val="18"/>
                <w:szCs w:val="18"/>
              </w:rPr>
            </w:pPr>
            <w:r w:rsidRPr="004F39C3">
              <w:rPr>
                <w:rFonts w:eastAsia="Times New Roman"/>
                <w:color w:val="FFFFFF" w:themeColor="background1"/>
                <w:sz w:val="18"/>
                <w:szCs w:val="18"/>
                <w:lang w:val="nl-BE" w:eastAsia="en-US"/>
              </w:rPr>
              <w:t>P10</w:t>
            </w:r>
          </w:p>
        </w:tc>
        <w:tc>
          <w:tcPr>
            <w:tcW w:w="851" w:type="dxa"/>
          </w:tcPr>
          <w:p w14:paraId="3282629B" w14:textId="77777777" w:rsidR="00B53814" w:rsidRPr="004F39C3" w:rsidRDefault="00B53814" w:rsidP="00FA009F">
            <w:pPr>
              <w:rPr>
                <w:sz w:val="18"/>
                <w:szCs w:val="18"/>
              </w:rPr>
            </w:pPr>
            <w:r w:rsidRPr="004F39C3">
              <w:rPr>
                <w:rFonts w:eastAsia="Times New Roman"/>
                <w:color w:val="FFFFFF" w:themeColor="background1"/>
                <w:sz w:val="18"/>
                <w:szCs w:val="18"/>
                <w:lang w:val="nl-BE" w:eastAsia="en-US"/>
              </w:rPr>
              <w:t>P25</w:t>
            </w:r>
          </w:p>
        </w:tc>
        <w:tc>
          <w:tcPr>
            <w:tcW w:w="888" w:type="dxa"/>
          </w:tcPr>
          <w:p w14:paraId="4F0DAF7F" w14:textId="77777777" w:rsidR="00B53814" w:rsidRPr="004F39C3" w:rsidRDefault="00B53814" w:rsidP="00FA009F">
            <w:pPr>
              <w:rPr>
                <w:sz w:val="18"/>
                <w:szCs w:val="18"/>
              </w:rPr>
            </w:pPr>
            <w:r w:rsidRPr="004F39C3">
              <w:rPr>
                <w:rFonts w:eastAsia="Times New Roman"/>
                <w:color w:val="FFFFFF" w:themeColor="background1"/>
                <w:sz w:val="18"/>
                <w:szCs w:val="18"/>
                <w:lang w:val="nl-BE" w:eastAsia="en-US"/>
              </w:rPr>
              <w:t>P50</w:t>
            </w:r>
          </w:p>
        </w:tc>
        <w:tc>
          <w:tcPr>
            <w:tcW w:w="840" w:type="dxa"/>
          </w:tcPr>
          <w:p w14:paraId="5B127726" w14:textId="77777777" w:rsidR="00B53814" w:rsidRPr="004F39C3" w:rsidRDefault="00B53814" w:rsidP="00FA009F">
            <w:pPr>
              <w:rPr>
                <w:sz w:val="18"/>
                <w:szCs w:val="18"/>
              </w:rPr>
            </w:pPr>
            <w:r w:rsidRPr="004F39C3">
              <w:rPr>
                <w:rFonts w:eastAsia="Times New Roman"/>
                <w:color w:val="FFFFFF" w:themeColor="background1"/>
                <w:sz w:val="18"/>
                <w:szCs w:val="18"/>
                <w:lang w:val="nl-BE" w:eastAsia="en-US"/>
              </w:rPr>
              <w:t>P75</w:t>
            </w:r>
          </w:p>
        </w:tc>
        <w:tc>
          <w:tcPr>
            <w:tcW w:w="838" w:type="dxa"/>
          </w:tcPr>
          <w:p w14:paraId="6E71C8BD" w14:textId="77777777" w:rsidR="00B53814" w:rsidRPr="004F39C3" w:rsidRDefault="00B53814" w:rsidP="00FA009F">
            <w:pPr>
              <w:rPr>
                <w:sz w:val="18"/>
                <w:szCs w:val="18"/>
              </w:rPr>
            </w:pPr>
            <w:r w:rsidRPr="004F39C3">
              <w:rPr>
                <w:rFonts w:eastAsia="Times New Roman"/>
                <w:color w:val="FFFFFF" w:themeColor="background1"/>
                <w:sz w:val="18"/>
                <w:szCs w:val="18"/>
                <w:lang w:val="nl-BE" w:eastAsia="en-US"/>
              </w:rPr>
              <w:t>P90</w:t>
            </w:r>
          </w:p>
        </w:tc>
        <w:tc>
          <w:tcPr>
            <w:tcW w:w="838" w:type="dxa"/>
          </w:tcPr>
          <w:p w14:paraId="1E2EF5FF" w14:textId="77777777" w:rsidR="00B53814" w:rsidRPr="004F39C3" w:rsidRDefault="00B53814" w:rsidP="00FA009F">
            <w:pPr>
              <w:rPr>
                <w:sz w:val="18"/>
                <w:szCs w:val="18"/>
              </w:rPr>
            </w:pPr>
            <w:r w:rsidRPr="004F39C3">
              <w:rPr>
                <w:rFonts w:eastAsia="Times New Roman"/>
                <w:color w:val="FFFFFF" w:themeColor="background1"/>
                <w:sz w:val="18"/>
                <w:szCs w:val="18"/>
                <w:lang w:val="nl-BE" w:eastAsia="en-US"/>
              </w:rPr>
              <w:t>P95</w:t>
            </w:r>
          </w:p>
        </w:tc>
        <w:tc>
          <w:tcPr>
            <w:tcW w:w="1369" w:type="dxa"/>
          </w:tcPr>
          <w:p w14:paraId="0A9FEA84" w14:textId="77777777" w:rsidR="00B53814" w:rsidRPr="004F39C3" w:rsidRDefault="00B53814" w:rsidP="00FA009F">
            <w:pPr>
              <w:rPr>
                <w:sz w:val="18"/>
                <w:szCs w:val="18"/>
                <w:lang w:val="nl-BE"/>
              </w:rPr>
            </w:pPr>
            <w:r w:rsidRPr="004F39C3">
              <w:rPr>
                <w:rFonts w:eastAsia="Times New Roman"/>
                <w:color w:val="FFFFFF" w:themeColor="background1"/>
                <w:sz w:val="18"/>
                <w:szCs w:val="18"/>
                <w:lang w:val="nl-BE" w:eastAsia="en-US"/>
              </w:rPr>
              <w:t>Moyenne</w:t>
            </w:r>
          </w:p>
        </w:tc>
      </w:tr>
      <w:tr w:rsidR="00B53814" w:rsidRPr="004F39C3" w14:paraId="77DD04E4" w14:textId="77777777" w:rsidTr="00EC542A">
        <w:trPr>
          <w:cnfStyle w:val="000000100000" w:firstRow="0" w:lastRow="0" w:firstColumn="0" w:lastColumn="0" w:oddVBand="0" w:evenVBand="0" w:oddHBand="1" w:evenHBand="0" w:firstRowFirstColumn="0" w:firstRowLastColumn="0" w:lastRowFirstColumn="0" w:lastRowLastColumn="0"/>
          <w:trHeight w:val="449"/>
        </w:trPr>
        <w:tc>
          <w:tcPr>
            <w:tcW w:w="1560" w:type="dxa"/>
          </w:tcPr>
          <w:p w14:paraId="47684085" w14:textId="5CFEEB9D" w:rsidR="00B53814" w:rsidRPr="004F39C3" w:rsidRDefault="00B53814" w:rsidP="001D67D1">
            <w:pPr>
              <w:jc w:val="both"/>
              <w:rPr>
                <w:sz w:val="18"/>
                <w:szCs w:val="18"/>
                <w:lang w:val="nl-BE"/>
              </w:rPr>
            </w:pPr>
            <w:proofErr w:type="spellStart"/>
            <w:r w:rsidRPr="004F39C3">
              <w:rPr>
                <w:sz w:val="18"/>
                <w:szCs w:val="18"/>
                <w:lang w:val="nl-BE"/>
              </w:rPr>
              <w:t>Avant</w:t>
            </w:r>
            <w:proofErr w:type="spellEnd"/>
          </w:p>
        </w:tc>
        <w:tc>
          <w:tcPr>
            <w:tcW w:w="992" w:type="dxa"/>
          </w:tcPr>
          <w:p w14:paraId="057FF98C" w14:textId="77777777" w:rsidR="00B53814" w:rsidRPr="004F39C3" w:rsidRDefault="00B53814" w:rsidP="00FA009F">
            <w:pPr>
              <w:rPr>
                <w:sz w:val="18"/>
                <w:szCs w:val="18"/>
                <w:lang w:val="nl-BE"/>
              </w:rPr>
            </w:pPr>
            <w:r w:rsidRPr="004F39C3">
              <w:rPr>
                <w:sz w:val="18"/>
                <w:szCs w:val="18"/>
              </w:rPr>
              <w:t>2</w:t>
            </w:r>
          </w:p>
        </w:tc>
        <w:tc>
          <w:tcPr>
            <w:tcW w:w="850" w:type="dxa"/>
          </w:tcPr>
          <w:p w14:paraId="1995316D" w14:textId="77777777" w:rsidR="00B53814" w:rsidRPr="004F39C3" w:rsidRDefault="00B53814" w:rsidP="00FA009F">
            <w:pPr>
              <w:rPr>
                <w:sz w:val="18"/>
                <w:szCs w:val="18"/>
              </w:rPr>
            </w:pPr>
            <w:r w:rsidRPr="004F39C3">
              <w:rPr>
                <w:sz w:val="18"/>
                <w:szCs w:val="18"/>
              </w:rPr>
              <w:t>2</w:t>
            </w:r>
          </w:p>
        </w:tc>
        <w:tc>
          <w:tcPr>
            <w:tcW w:w="851" w:type="dxa"/>
          </w:tcPr>
          <w:p w14:paraId="0B95D39B" w14:textId="77777777" w:rsidR="00B53814" w:rsidRPr="004F39C3" w:rsidRDefault="00B53814" w:rsidP="00FA009F">
            <w:pPr>
              <w:rPr>
                <w:sz w:val="18"/>
                <w:szCs w:val="18"/>
              </w:rPr>
            </w:pPr>
            <w:r w:rsidRPr="004F39C3">
              <w:rPr>
                <w:sz w:val="18"/>
                <w:szCs w:val="18"/>
              </w:rPr>
              <w:t>4</w:t>
            </w:r>
          </w:p>
        </w:tc>
        <w:tc>
          <w:tcPr>
            <w:tcW w:w="888" w:type="dxa"/>
          </w:tcPr>
          <w:p w14:paraId="0DE38CD8" w14:textId="77777777" w:rsidR="00B53814" w:rsidRPr="004F39C3" w:rsidRDefault="00B53814" w:rsidP="00FA009F">
            <w:pPr>
              <w:rPr>
                <w:sz w:val="18"/>
                <w:szCs w:val="18"/>
              </w:rPr>
            </w:pPr>
            <w:r w:rsidRPr="004F39C3">
              <w:rPr>
                <w:sz w:val="18"/>
                <w:szCs w:val="18"/>
              </w:rPr>
              <w:t>5</w:t>
            </w:r>
          </w:p>
        </w:tc>
        <w:tc>
          <w:tcPr>
            <w:tcW w:w="840" w:type="dxa"/>
          </w:tcPr>
          <w:p w14:paraId="6D9F0266" w14:textId="77777777" w:rsidR="00B53814" w:rsidRPr="004F39C3" w:rsidRDefault="00B53814" w:rsidP="00FA009F">
            <w:pPr>
              <w:rPr>
                <w:sz w:val="18"/>
                <w:szCs w:val="18"/>
              </w:rPr>
            </w:pPr>
            <w:r w:rsidRPr="004F39C3">
              <w:rPr>
                <w:sz w:val="18"/>
                <w:szCs w:val="18"/>
              </w:rPr>
              <w:t>6</w:t>
            </w:r>
          </w:p>
        </w:tc>
        <w:tc>
          <w:tcPr>
            <w:tcW w:w="838" w:type="dxa"/>
          </w:tcPr>
          <w:p w14:paraId="082BEB49" w14:textId="77777777" w:rsidR="00B53814" w:rsidRPr="004F39C3" w:rsidRDefault="00B53814" w:rsidP="00FA009F">
            <w:pPr>
              <w:rPr>
                <w:sz w:val="18"/>
                <w:szCs w:val="18"/>
              </w:rPr>
            </w:pPr>
            <w:r w:rsidRPr="004F39C3">
              <w:rPr>
                <w:sz w:val="18"/>
                <w:szCs w:val="18"/>
              </w:rPr>
              <w:t>7</w:t>
            </w:r>
          </w:p>
        </w:tc>
        <w:tc>
          <w:tcPr>
            <w:tcW w:w="838" w:type="dxa"/>
          </w:tcPr>
          <w:p w14:paraId="17EDF61C" w14:textId="77777777" w:rsidR="00B53814" w:rsidRPr="004F39C3" w:rsidRDefault="00B53814" w:rsidP="00FA009F">
            <w:pPr>
              <w:rPr>
                <w:sz w:val="18"/>
                <w:szCs w:val="18"/>
              </w:rPr>
            </w:pPr>
            <w:r w:rsidRPr="004F39C3">
              <w:rPr>
                <w:sz w:val="18"/>
                <w:szCs w:val="18"/>
              </w:rPr>
              <w:t>8</w:t>
            </w:r>
          </w:p>
        </w:tc>
        <w:tc>
          <w:tcPr>
            <w:tcW w:w="1369" w:type="dxa"/>
          </w:tcPr>
          <w:p w14:paraId="1F07588E" w14:textId="77777777" w:rsidR="00B53814" w:rsidRPr="004F39C3" w:rsidRDefault="00B53814" w:rsidP="00FA009F">
            <w:pPr>
              <w:rPr>
                <w:sz w:val="18"/>
                <w:szCs w:val="18"/>
                <w:lang w:val="nl-BE"/>
              </w:rPr>
            </w:pPr>
            <w:r w:rsidRPr="004F39C3">
              <w:rPr>
                <w:sz w:val="18"/>
                <w:szCs w:val="18"/>
              </w:rPr>
              <w:t>5</w:t>
            </w:r>
          </w:p>
        </w:tc>
      </w:tr>
      <w:tr w:rsidR="00B53814" w:rsidRPr="004F39C3" w14:paraId="56B4F5F7" w14:textId="77777777" w:rsidTr="00EC542A">
        <w:trPr>
          <w:trHeight w:val="382"/>
        </w:trPr>
        <w:tc>
          <w:tcPr>
            <w:tcW w:w="1560" w:type="dxa"/>
          </w:tcPr>
          <w:p w14:paraId="75119FB4" w14:textId="3AA1E111" w:rsidR="00B53814" w:rsidRPr="004F39C3" w:rsidRDefault="00B53814" w:rsidP="001D67D1">
            <w:pPr>
              <w:jc w:val="both"/>
              <w:rPr>
                <w:sz w:val="18"/>
                <w:szCs w:val="18"/>
                <w:lang w:val="nl-BE"/>
              </w:rPr>
            </w:pPr>
            <w:proofErr w:type="spellStart"/>
            <w:r w:rsidRPr="004F39C3">
              <w:rPr>
                <w:sz w:val="18"/>
                <w:szCs w:val="18"/>
                <w:lang w:val="nl-BE"/>
              </w:rPr>
              <w:t>Après</w:t>
            </w:r>
            <w:proofErr w:type="spellEnd"/>
            <w:r w:rsidRPr="004F39C3">
              <w:rPr>
                <w:sz w:val="18"/>
                <w:szCs w:val="18"/>
                <w:lang w:val="nl-BE"/>
              </w:rPr>
              <w:t xml:space="preserve"> </w:t>
            </w:r>
          </w:p>
        </w:tc>
        <w:tc>
          <w:tcPr>
            <w:tcW w:w="992" w:type="dxa"/>
          </w:tcPr>
          <w:p w14:paraId="4028A66A" w14:textId="77777777" w:rsidR="00B53814" w:rsidRPr="004F39C3" w:rsidRDefault="00B53814" w:rsidP="00FA009F">
            <w:pPr>
              <w:rPr>
                <w:sz w:val="18"/>
                <w:szCs w:val="18"/>
                <w:lang w:val="nl-BE"/>
              </w:rPr>
            </w:pPr>
            <w:r w:rsidRPr="004F39C3">
              <w:rPr>
                <w:sz w:val="18"/>
                <w:szCs w:val="18"/>
              </w:rPr>
              <w:t>2</w:t>
            </w:r>
          </w:p>
        </w:tc>
        <w:tc>
          <w:tcPr>
            <w:tcW w:w="850" w:type="dxa"/>
          </w:tcPr>
          <w:p w14:paraId="72850B3E" w14:textId="77777777" w:rsidR="00B53814" w:rsidRPr="004F39C3" w:rsidRDefault="00B53814" w:rsidP="00FA009F">
            <w:pPr>
              <w:rPr>
                <w:sz w:val="18"/>
                <w:szCs w:val="18"/>
              </w:rPr>
            </w:pPr>
            <w:r w:rsidRPr="004F39C3">
              <w:rPr>
                <w:sz w:val="18"/>
                <w:szCs w:val="18"/>
              </w:rPr>
              <w:t>2</w:t>
            </w:r>
          </w:p>
        </w:tc>
        <w:tc>
          <w:tcPr>
            <w:tcW w:w="851" w:type="dxa"/>
          </w:tcPr>
          <w:p w14:paraId="750D4873" w14:textId="77777777" w:rsidR="00B53814" w:rsidRPr="004F39C3" w:rsidRDefault="00B53814" w:rsidP="00FA009F">
            <w:pPr>
              <w:rPr>
                <w:sz w:val="18"/>
                <w:szCs w:val="18"/>
              </w:rPr>
            </w:pPr>
            <w:r w:rsidRPr="004F39C3">
              <w:rPr>
                <w:sz w:val="18"/>
                <w:szCs w:val="18"/>
              </w:rPr>
              <w:t>3</w:t>
            </w:r>
          </w:p>
        </w:tc>
        <w:tc>
          <w:tcPr>
            <w:tcW w:w="888" w:type="dxa"/>
          </w:tcPr>
          <w:p w14:paraId="19A15898" w14:textId="77777777" w:rsidR="00B53814" w:rsidRPr="004F39C3" w:rsidRDefault="00B53814" w:rsidP="00FA009F">
            <w:pPr>
              <w:rPr>
                <w:sz w:val="18"/>
                <w:szCs w:val="18"/>
              </w:rPr>
            </w:pPr>
            <w:r w:rsidRPr="004F39C3">
              <w:rPr>
                <w:sz w:val="18"/>
                <w:szCs w:val="18"/>
              </w:rPr>
              <w:t>4</w:t>
            </w:r>
          </w:p>
        </w:tc>
        <w:tc>
          <w:tcPr>
            <w:tcW w:w="840" w:type="dxa"/>
          </w:tcPr>
          <w:p w14:paraId="5DD07996" w14:textId="77777777" w:rsidR="00B53814" w:rsidRPr="004F39C3" w:rsidRDefault="00B53814" w:rsidP="00FA009F">
            <w:pPr>
              <w:rPr>
                <w:sz w:val="18"/>
                <w:szCs w:val="18"/>
              </w:rPr>
            </w:pPr>
            <w:r w:rsidRPr="004F39C3">
              <w:rPr>
                <w:sz w:val="18"/>
                <w:szCs w:val="18"/>
              </w:rPr>
              <w:t>6</w:t>
            </w:r>
          </w:p>
        </w:tc>
        <w:tc>
          <w:tcPr>
            <w:tcW w:w="838" w:type="dxa"/>
          </w:tcPr>
          <w:p w14:paraId="21D55C71" w14:textId="77777777" w:rsidR="00B53814" w:rsidRPr="004F39C3" w:rsidRDefault="00B53814" w:rsidP="00FA009F">
            <w:pPr>
              <w:rPr>
                <w:sz w:val="18"/>
                <w:szCs w:val="18"/>
              </w:rPr>
            </w:pPr>
            <w:r w:rsidRPr="004F39C3">
              <w:rPr>
                <w:sz w:val="18"/>
                <w:szCs w:val="18"/>
              </w:rPr>
              <w:t>7</w:t>
            </w:r>
          </w:p>
        </w:tc>
        <w:tc>
          <w:tcPr>
            <w:tcW w:w="838" w:type="dxa"/>
          </w:tcPr>
          <w:p w14:paraId="11481293" w14:textId="77777777" w:rsidR="00B53814" w:rsidRPr="004F39C3" w:rsidRDefault="00B53814" w:rsidP="00FA009F">
            <w:pPr>
              <w:rPr>
                <w:sz w:val="18"/>
                <w:szCs w:val="18"/>
              </w:rPr>
            </w:pPr>
            <w:r w:rsidRPr="004F39C3">
              <w:rPr>
                <w:sz w:val="18"/>
                <w:szCs w:val="18"/>
              </w:rPr>
              <w:t>8</w:t>
            </w:r>
          </w:p>
        </w:tc>
        <w:tc>
          <w:tcPr>
            <w:tcW w:w="1369" w:type="dxa"/>
          </w:tcPr>
          <w:p w14:paraId="14FD5BBC" w14:textId="77777777" w:rsidR="00B53814" w:rsidRPr="004F39C3" w:rsidRDefault="00B53814" w:rsidP="00FA009F">
            <w:pPr>
              <w:rPr>
                <w:sz w:val="18"/>
                <w:szCs w:val="18"/>
                <w:lang w:val="nl-BE"/>
              </w:rPr>
            </w:pPr>
            <w:r w:rsidRPr="004F39C3">
              <w:rPr>
                <w:sz w:val="18"/>
                <w:szCs w:val="18"/>
              </w:rPr>
              <w:t>5</w:t>
            </w:r>
          </w:p>
        </w:tc>
      </w:tr>
      <w:tr w:rsidR="00B53814" w:rsidRPr="004F39C3" w14:paraId="000110EF" w14:textId="77777777" w:rsidTr="00EC542A">
        <w:trPr>
          <w:cnfStyle w:val="010000000000" w:firstRow="0" w:lastRow="1" w:firstColumn="0" w:lastColumn="0" w:oddVBand="0" w:evenVBand="0" w:oddHBand="0" w:evenHBand="0" w:firstRowFirstColumn="0" w:firstRowLastColumn="0" w:lastRowFirstColumn="0" w:lastRowLastColumn="0"/>
        </w:trPr>
        <w:tc>
          <w:tcPr>
            <w:tcW w:w="1560" w:type="dxa"/>
          </w:tcPr>
          <w:p w14:paraId="774CE72F" w14:textId="77777777" w:rsidR="00B53814" w:rsidRPr="004F39C3" w:rsidRDefault="00B53814" w:rsidP="001D67D1">
            <w:pPr>
              <w:jc w:val="both"/>
              <w:rPr>
                <w:sz w:val="18"/>
                <w:szCs w:val="18"/>
              </w:rPr>
            </w:pPr>
          </w:p>
        </w:tc>
        <w:tc>
          <w:tcPr>
            <w:tcW w:w="992" w:type="dxa"/>
          </w:tcPr>
          <w:p w14:paraId="5C4DE9D6" w14:textId="77777777" w:rsidR="00B53814" w:rsidRPr="004F39C3" w:rsidRDefault="00B53814" w:rsidP="001D67D1">
            <w:pPr>
              <w:jc w:val="both"/>
              <w:rPr>
                <w:sz w:val="18"/>
                <w:szCs w:val="18"/>
              </w:rPr>
            </w:pPr>
          </w:p>
        </w:tc>
        <w:tc>
          <w:tcPr>
            <w:tcW w:w="850" w:type="dxa"/>
          </w:tcPr>
          <w:p w14:paraId="3410A902" w14:textId="77777777" w:rsidR="00B53814" w:rsidRPr="004F39C3" w:rsidRDefault="00B53814" w:rsidP="001D67D1">
            <w:pPr>
              <w:jc w:val="both"/>
              <w:rPr>
                <w:sz w:val="18"/>
                <w:szCs w:val="18"/>
              </w:rPr>
            </w:pPr>
          </w:p>
        </w:tc>
        <w:tc>
          <w:tcPr>
            <w:tcW w:w="851" w:type="dxa"/>
          </w:tcPr>
          <w:p w14:paraId="7E308BA3" w14:textId="77777777" w:rsidR="00B53814" w:rsidRPr="004F39C3" w:rsidRDefault="00B53814" w:rsidP="001D67D1">
            <w:pPr>
              <w:jc w:val="both"/>
              <w:rPr>
                <w:sz w:val="18"/>
                <w:szCs w:val="18"/>
              </w:rPr>
            </w:pPr>
          </w:p>
        </w:tc>
        <w:tc>
          <w:tcPr>
            <w:tcW w:w="888" w:type="dxa"/>
          </w:tcPr>
          <w:p w14:paraId="2769EB38" w14:textId="77777777" w:rsidR="00B53814" w:rsidRPr="004F39C3" w:rsidRDefault="00B53814" w:rsidP="001D67D1">
            <w:pPr>
              <w:jc w:val="both"/>
              <w:rPr>
                <w:sz w:val="18"/>
                <w:szCs w:val="18"/>
              </w:rPr>
            </w:pPr>
          </w:p>
        </w:tc>
        <w:tc>
          <w:tcPr>
            <w:tcW w:w="840" w:type="dxa"/>
          </w:tcPr>
          <w:p w14:paraId="257198B0" w14:textId="77777777" w:rsidR="00B53814" w:rsidRPr="004F39C3" w:rsidRDefault="00B53814" w:rsidP="001D67D1">
            <w:pPr>
              <w:jc w:val="both"/>
              <w:rPr>
                <w:sz w:val="18"/>
                <w:szCs w:val="18"/>
              </w:rPr>
            </w:pPr>
          </w:p>
        </w:tc>
        <w:tc>
          <w:tcPr>
            <w:tcW w:w="838" w:type="dxa"/>
          </w:tcPr>
          <w:p w14:paraId="11FB6D82" w14:textId="77777777" w:rsidR="00B53814" w:rsidRPr="004F39C3" w:rsidRDefault="00B53814" w:rsidP="001D67D1">
            <w:pPr>
              <w:jc w:val="both"/>
              <w:rPr>
                <w:sz w:val="18"/>
                <w:szCs w:val="18"/>
              </w:rPr>
            </w:pPr>
          </w:p>
        </w:tc>
        <w:tc>
          <w:tcPr>
            <w:tcW w:w="838" w:type="dxa"/>
          </w:tcPr>
          <w:p w14:paraId="75A4D855" w14:textId="77777777" w:rsidR="00B53814" w:rsidRPr="004F39C3" w:rsidRDefault="00B53814" w:rsidP="001D67D1">
            <w:pPr>
              <w:jc w:val="both"/>
              <w:rPr>
                <w:sz w:val="18"/>
                <w:szCs w:val="18"/>
              </w:rPr>
            </w:pPr>
          </w:p>
        </w:tc>
        <w:tc>
          <w:tcPr>
            <w:tcW w:w="1369" w:type="dxa"/>
          </w:tcPr>
          <w:p w14:paraId="500C395A" w14:textId="77777777" w:rsidR="00B53814" w:rsidRPr="004F39C3" w:rsidRDefault="00B53814" w:rsidP="001D67D1">
            <w:pPr>
              <w:jc w:val="both"/>
              <w:rPr>
                <w:sz w:val="18"/>
                <w:szCs w:val="18"/>
              </w:rPr>
            </w:pPr>
          </w:p>
        </w:tc>
      </w:tr>
    </w:tbl>
    <w:p w14:paraId="4F49EB4E" w14:textId="56CB791D" w:rsidR="00A60BEA" w:rsidRDefault="00B53814" w:rsidP="001D67D1">
      <w:pPr>
        <w:spacing w:after="0"/>
        <w:jc w:val="both"/>
      </w:pPr>
      <w:r>
        <w:t xml:space="preserve">Source : </w:t>
      </w:r>
      <w:proofErr w:type="spellStart"/>
      <w:r>
        <w:t>Solidaris</w:t>
      </w:r>
      <w:proofErr w:type="spellEnd"/>
    </w:p>
    <w:p w14:paraId="0138DEF0" w14:textId="535F4EC0" w:rsidR="00B53814" w:rsidRDefault="00B53814" w:rsidP="00B80CD4">
      <w:pPr>
        <w:spacing w:after="0"/>
        <w:jc w:val="both"/>
        <w:rPr>
          <w:rFonts w:cs="Arial"/>
          <w:szCs w:val="20"/>
          <w:lang w:val="fr-BE"/>
        </w:rPr>
      </w:pPr>
      <w:r w:rsidRPr="00B53814">
        <w:rPr>
          <w:rFonts w:cs="Arial"/>
          <w:szCs w:val="20"/>
          <w:lang w:val="fr-FR"/>
        </w:rPr>
        <w:t>L</w:t>
      </w:r>
      <w:proofErr w:type="spellStart"/>
      <w:r w:rsidRPr="00B53814">
        <w:rPr>
          <w:rFonts w:cs="Arial"/>
          <w:szCs w:val="20"/>
          <w:lang w:val="fr-BE"/>
        </w:rPr>
        <w:t>orsque</w:t>
      </w:r>
      <w:proofErr w:type="spellEnd"/>
      <w:r w:rsidRPr="00B53814">
        <w:rPr>
          <w:rFonts w:cs="Arial"/>
          <w:szCs w:val="20"/>
          <w:lang w:val="fr-BE"/>
        </w:rPr>
        <w:t xml:space="preserve"> la polymédication est analysée de manière plus fine et sur base des classes thérapeutiques</w:t>
      </w:r>
      <w:r w:rsidR="006E690D">
        <w:rPr>
          <w:rFonts w:cs="Arial"/>
          <w:szCs w:val="20"/>
          <w:lang w:val="fr-BE"/>
        </w:rPr>
        <w:t xml:space="preserve"> (ATC-4</w:t>
      </w:r>
      <w:r w:rsidR="006E690D" w:rsidRPr="006E690D">
        <w:rPr>
          <w:rFonts w:cs="Arial"/>
          <w:szCs w:val="20"/>
          <w:vertAlign w:val="superscript"/>
          <w:lang w:val="fr-BE"/>
        </w:rPr>
        <w:t>ème</w:t>
      </w:r>
      <w:r w:rsidR="006E690D">
        <w:rPr>
          <w:rFonts w:cs="Arial"/>
          <w:szCs w:val="20"/>
          <w:lang w:val="fr-BE"/>
        </w:rPr>
        <w:t xml:space="preserve"> niveau)</w:t>
      </w:r>
      <w:r w:rsidRPr="00B53814">
        <w:rPr>
          <w:rFonts w:cs="Arial"/>
          <w:szCs w:val="20"/>
          <w:lang w:val="fr-BE"/>
        </w:rPr>
        <w:t xml:space="preserve">, la consommation de médicaments avant et après l’entrée en maison de repos </w:t>
      </w:r>
      <w:r w:rsidR="00281FD7">
        <w:rPr>
          <w:rFonts w:cs="Arial"/>
          <w:szCs w:val="20"/>
          <w:lang w:val="fr-BE"/>
        </w:rPr>
        <w:t>diminue</w:t>
      </w:r>
      <w:r w:rsidRPr="00B53814">
        <w:rPr>
          <w:rFonts w:cs="Arial"/>
          <w:szCs w:val="20"/>
          <w:lang w:val="fr-BE"/>
        </w:rPr>
        <w:t xml:space="preserve"> quelque peu (Tableau </w:t>
      </w:r>
      <w:r w:rsidR="006E690D">
        <w:rPr>
          <w:rFonts w:cs="Arial"/>
          <w:szCs w:val="20"/>
          <w:lang w:val="fr-BE"/>
        </w:rPr>
        <w:t>6</w:t>
      </w:r>
      <w:r w:rsidRPr="00B53814">
        <w:rPr>
          <w:rFonts w:cs="Arial"/>
          <w:szCs w:val="20"/>
          <w:lang w:val="fr-BE"/>
        </w:rPr>
        <w:t xml:space="preserve">). Si la moitié des affiliés se voyait prescrire 8 classes thérapeutiques différentes six mois avant l’entrée en maison de repos, ils reçoivent 7 classes thérapeutiques différentes après être entré en maison de repos. La baisse est plus marquée pour 25% des affiliés à qui l’on prescrit deux classes thérapeutiques en moins après l’institutionnalisation. L’entrée en maison de repos induit donc quelques changements </w:t>
      </w:r>
      <w:r w:rsidR="00B80CD4">
        <w:rPr>
          <w:rFonts w:cs="Arial"/>
          <w:szCs w:val="20"/>
          <w:lang w:val="fr-BE"/>
        </w:rPr>
        <w:t xml:space="preserve">à la baisse </w:t>
      </w:r>
      <w:r w:rsidRPr="00B53814">
        <w:rPr>
          <w:rFonts w:cs="Arial"/>
          <w:szCs w:val="20"/>
          <w:lang w:val="fr-BE"/>
        </w:rPr>
        <w:t>en termes de polymédication pour une majorité des affiliés (cf. P25).</w:t>
      </w:r>
    </w:p>
    <w:p w14:paraId="62778A26" w14:textId="77777777" w:rsidR="00B80CD4" w:rsidRDefault="00B80CD4" w:rsidP="00B80CD4">
      <w:pPr>
        <w:spacing w:after="0"/>
        <w:jc w:val="both"/>
        <w:rPr>
          <w:rFonts w:cs="Arial"/>
          <w:szCs w:val="20"/>
          <w:lang w:val="fr-BE"/>
        </w:rPr>
      </w:pPr>
    </w:p>
    <w:p w14:paraId="1EFBB19E" w14:textId="38288E34" w:rsidR="00B80CD4" w:rsidRPr="00B80CD4" w:rsidRDefault="00B80CD4" w:rsidP="00B80CD4">
      <w:pPr>
        <w:spacing w:after="0"/>
        <w:jc w:val="both"/>
        <w:rPr>
          <w:lang w:val="fr-BE"/>
        </w:rPr>
      </w:pPr>
      <w:r w:rsidRPr="00B80CD4">
        <w:rPr>
          <w:lang w:val="fr-BE"/>
        </w:rPr>
        <w:t>Par rapport à il y a 10 ans, il s'agit d'une légère amélioration (il y avait alors une augmentation limitée ou une situation stable après l'</w:t>
      </w:r>
      <w:r>
        <w:rPr>
          <w:lang w:val="fr-BE"/>
        </w:rPr>
        <w:t>entrée en maison de repos</w:t>
      </w:r>
      <w:r w:rsidRPr="00B80CD4">
        <w:rPr>
          <w:lang w:val="fr-BE"/>
        </w:rPr>
        <w:t xml:space="preserve">). </w:t>
      </w:r>
      <w:r>
        <w:rPr>
          <w:lang w:val="fr-BE"/>
        </w:rPr>
        <w:t>Cela s’explique entre autres parce que l</w:t>
      </w:r>
      <w:r w:rsidRPr="00B80CD4">
        <w:rPr>
          <w:lang w:val="fr-BE"/>
        </w:rPr>
        <w:t xml:space="preserve">e nombre moyen de médicaments différents qu'une personne prend avant son </w:t>
      </w:r>
      <w:r>
        <w:rPr>
          <w:lang w:val="fr-BE"/>
        </w:rPr>
        <w:t>entrée de maison de repos</w:t>
      </w:r>
      <w:r w:rsidRPr="00B80CD4">
        <w:rPr>
          <w:lang w:val="fr-BE"/>
        </w:rPr>
        <w:t xml:space="preserve"> (c'est-à-dire à domicile) </w:t>
      </w:r>
      <w:r>
        <w:rPr>
          <w:lang w:val="fr-BE"/>
        </w:rPr>
        <w:t xml:space="preserve">est légèrement plus élevé que dans </w:t>
      </w:r>
      <w:r w:rsidRPr="00B80CD4">
        <w:rPr>
          <w:lang w:val="fr-BE"/>
        </w:rPr>
        <w:t>l'étude de 2013 (au niveau ATC1, de 4 à 5 médicaments différents, au niveau ATC4, de 8 à 9 médicaments différents</w:t>
      </w:r>
      <w:r w:rsidR="00C901B1">
        <w:rPr>
          <w:lang w:val="fr-BE"/>
        </w:rPr>
        <w:t>)</w:t>
      </w:r>
      <w:r w:rsidRPr="00B80CD4">
        <w:rPr>
          <w:lang w:val="fr-BE"/>
        </w:rPr>
        <w:t>.</w:t>
      </w:r>
    </w:p>
    <w:p w14:paraId="39742C71" w14:textId="77777777" w:rsidR="00B53814" w:rsidRPr="00B53814" w:rsidRDefault="00B53814" w:rsidP="001D67D1">
      <w:pPr>
        <w:spacing w:after="0"/>
        <w:jc w:val="both"/>
        <w:rPr>
          <w:rFonts w:cs="Arial"/>
          <w:szCs w:val="20"/>
          <w:lang w:val="fr-BE"/>
        </w:rPr>
      </w:pPr>
    </w:p>
    <w:p w14:paraId="6121582B" w14:textId="76DEAF92" w:rsidR="00B53814" w:rsidRPr="007D60F6" w:rsidRDefault="00B53814" w:rsidP="007D60F6">
      <w:pPr>
        <w:pStyle w:val="Tableau"/>
      </w:pPr>
      <w:bookmarkStart w:id="18" w:name="_Toc130195834"/>
      <w:r w:rsidRPr="007D60F6">
        <w:t>Tableau 6 : Distribution des affiliés selon le nombre de systèmes (ATC-4ème niveau) traités par affilié 6 mois avant et 6 mois après l’entrée en maison de repos, 2020-2021</w:t>
      </w:r>
      <w:bookmarkEnd w:id="18"/>
    </w:p>
    <w:tbl>
      <w:tblPr>
        <w:tblStyle w:val="Solidaris"/>
        <w:tblW w:w="0" w:type="auto"/>
        <w:tblLook w:val="04E0" w:firstRow="1" w:lastRow="1" w:firstColumn="1" w:lastColumn="0" w:noHBand="0" w:noVBand="1"/>
      </w:tblPr>
      <w:tblGrid>
        <w:gridCol w:w="1560"/>
        <w:gridCol w:w="992"/>
        <w:gridCol w:w="850"/>
        <w:gridCol w:w="851"/>
        <w:gridCol w:w="888"/>
        <w:gridCol w:w="840"/>
        <w:gridCol w:w="838"/>
        <w:gridCol w:w="838"/>
        <w:gridCol w:w="1369"/>
      </w:tblGrid>
      <w:tr w:rsidR="00B80CD4" w:rsidRPr="004F39C3" w14:paraId="27C23DA2" w14:textId="77777777" w:rsidTr="00EC542A">
        <w:trPr>
          <w:cnfStyle w:val="100000000000" w:firstRow="1" w:lastRow="0" w:firstColumn="0" w:lastColumn="0" w:oddVBand="0" w:evenVBand="0" w:oddHBand="0" w:evenHBand="0" w:firstRowFirstColumn="0" w:firstRowLastColumn="0" w:lastRowFirstColumn="0" w:lastRowLastColumn="0"/>
        </w:trPr>
        <w:tc>
          <w:tcPr>
            <w:tcW w:w="1560" w:type="dxa"/>
          </w:tcPr>
          <w:p w14:paraId="5740670D" w14:textId="77777777" w:rsidR="00B53814" w:rsidRPr="004F39C3" w:rsidRDefault="00B53814" w:rsidP="00EC542A">
            <w:pPr>
              <w:jc w:val="left"/>
              <w:rPr>
                <w:sz w:val="18"/>
                <w:szCs w:val="18"/>
              </w:rPr>
            </w:pPr>
          </w:p>
        </w:tc>
        <w:tc>
          <w:tcPr>
            <w:tcW w:w="992" w:type="dxa"/>
          </w:tcPr>
          <w:p w14:paraId="5CBE3A1C" w14:textId="77777777" w:rsidR="00B53814" w:rsidRPr="004F39C3" w:rsidRDefault="00B53814" w:rsidP="00EC542A">
            <w:pPr>
              <w:rPr>
                <w:sz w:val="18"/>
                <w:szCs w:val="18"/>
                <w:lang w:val="nl-BE"/>
              </w:rPr>
            </w:pPr>
            <w:r w:rsidRPr="004F39C3">
              <w:rPr>
                <w:rFonts w:eastAsia="Times New Roman"/>
                <w:color w:val="FFFFFF" w:themeColor="background1"/>
                <w:sz w:val="18"/>
                <w:szCs w:val="18"/>
                <w:lang w:val="nl-BE" w:eastAsia="en-US"/>
              </w:rPr>
              <w:t>P5</w:t>
            </w:r>
          </w:p>
        </w:tc>
        <w:tc>
          <w:tcPr>
            <w:tcW w:w="850" w:type="dxa"/>
          </w:tcPr>
          <w:p w14:paraId="08C81C97" w14:textId="77777777" w:rsidR="00B53814" w:rsidRPr="004F39C3" w:rsidRDefault="00B53814" w:rsidP="00EC542A">
            <w:pPr>
              <w:rPr>
                <w:sz w:val="18"/>
                <w:szCs w:val="18"/>
              </w:rPr>
            </w:pPr>
            <w:r w:rsidRPr="004F39C3">
              <w:rPr>
                <w:rFonts w:eastAsia="Times New Roman"/>
                <w:color w:val="FFFFFF" w:themeColor="background1"/>
                <w:sz w:val="18"/>
                <w:szCs w:val="18"/>
                <w:lang w:val="nl-BE" w:eastAsia="en-US"/>
              </w:rPr>
              <w:t>P10</w:t>
            </w:r>
          </w:p>
        </w:tc>
        <w:tc>
          <w:tcPr>
            <w:tcW w:w="851" w:type="dxa"/>
          </w:tcPr>
          <w:p w14:paraId="7FFD8D37" w14:textId="77777777" w:rsidR="00B53814" w:rsidRPr="004F39C3" w:rsidRDefault="00B53814" w:rsidP="00EC542A">
            <w:pPr>
              <w:rPr>
                <w:sz w:val="18"/>
                <w:szCs w:val="18"/>
              </w:rPr>
            </w:pPr>
            <w:r w:rsidRPr="004F39C3">
              <w:rPr>
                <w:rFonts w:eastAsia="Times New Roman"/>
                <w:color w:val="FFFFFF" w:themeColor="background1"/>
                <w:sz w:val="18"/>
                <w:szCs w:val="18"/>
                <w:lang w:val="nl-BE" w:eastAsia="en-US"/>
              </w:rPr>
              <w:t>P25</w:t>
            </w:r>
          </w:p>
        </w:tc>
        <w:tc>
          <w:tcPr>
            <w:tcW w:w="888" w:type="dxa"/>
          </w:tcPr>
          <w:p w14:paraId="3D1F784F" w14:textId="77777777" w:rsidR="00B53814" w:rsidRPr="004F39C3" w:rsidRDefault="00B53814" w:rsidP="00EC542A">
            <w:pPr>
              <w:rPr>
                <w:sz w:val="18"/>
                <w:szCs w:val="18"/>
              </w:rPr>
            </w:pPr>
            <w:r w:rsidRPr="004F39C3">
              <w:rPr>
                <w:rFonts w:eastAsia="Times New Roman"/>
                <w:color w:val="FFFFFF" w:themeColor="background1"/>
                <w:sz w:val="18"/>
                <w:szCs w:val="18"/>
                <w:lang w:val="nl-BE" w:eastAsia="en-US"/>
              </w:rPr>
              <w:t>P50</w:t>
            </w:r>
          </w:p>
        </w:tc>
        <w:tc>
          <w:tcPr>
            <w:tcW w:w="840" w:type="dxa"/>
          </w:tcPr>
          <w:p w14:paraId="7B5735F4" w14:textId="77777777" w:rsidR="00B53814" w:rsidRPr="004F39C3" w:rsidRDefault="00B53814" w:rsidP="00EC542A">
            <w:pPr>
              <w:rPr>
                <w:sz w:val="18"/>
                <w:szCs w:val="18"/>
              </w:rPr>
            </w:pPr>
            <w:r w:rsidRPr="004F39C3">
              <w:rPr>
                <w:rFonts w:eastAsia="Times New Roman"/>
                <w:color w:val="FFFFFF" w:themeColor="background1"/>
                <w:sz w:val="18"/>
                <w:szCs w:val="18"/>
                <w:lang w:val="nl-BE" w:eastAsia="en-US"/>
              </w:rPr>
              <w:t>P75</w:t>
            </w:r>
          </w:p>
        </w:tc>
        <w:tc>
          <w:tcPr>
            <w:tcW w:w="838" w:type="dxa"/>
          </w:tcPr>
          <w:p w14:paraId="5BBDC7E0" w14:textId="77777777" w:rsidR="00B53814" w:rsidRPr="004F39C3" w:rsidRDefault="00B53814" w:rsidP="00EC542A">
            <w:pPr>
              <w:rPr>
                <w:sz w:val="18"/>
                <w:szCs w:val="18"/>
              </w:rPr>
            </w:pPr>
            <w:r w:rsidRPr="004F39C3">
              <w:rPr>
                <w:rFonts w:eastAsia="Times New Roman"/>
                <w:color w:val="FFFFFF" w:themeColor="background1"/>
                <w:sz w:val="18"/>
                <w:szCs w:val="18"/>
                <w:lang w:val="nl-BE" w:eastAsia="en-US"/>
              </w:rPr>
              <w:t>P90</w:t>
            </w:r>
          </w:p>
        </w:tc>
        <w:tc>
          <w:tcPr>
            <w:tcW w:w="838" w:type="dxa"/>
          </w:tcPr>
          <w:p w14:paraId="1AA9CE7E" w14:textId="77777777" w:rsidR="00B53814" w:rsidRPr="004F39C3" w:rsidRDefault="00B53814" w:rsidP="00EC542A">
            <w:pPr>
              <w:rPr>
                <w:sz w:val="18"/>
                <w:szCs w:val="18"/>
              </w:rPr>
            </w:pPr>
            <w:r w:rsidRPr="004F39C3">
              <w:rPr>
                <w:rFonts w:eastAsia="Times New Roman"/>
                <w:color w:val="FFFFFF" w:themeColor="background1"/>
                <w:sz w:val="18"/>
                <w:szCs w:val="18"/>
                <w:lang w:val="nl-BE" w:eastAsia="en-US"/>
              </w:rPr>
              <w:t>P95</w:t>
            </w:r>
          </w:p>
        </w:tc>
        <w:tc>
          <w:tcPr>
            <w:tcW w:w="1369" w:type="dxa"/>
          </w:tcPr>
          <w:p w14:paraId="7F6383BF" w14:textId="77777777" w:rsidR="00B53814" w:rsidRPr="004F39C3" w:rsidRDefault="00B53814" w:rsidP="00EC542A">
            <w:pPr>
              <w:rPr>
                <w:sz w:val="18"/>
                <w:szCs w:val="18"/>
                <w:lang w:val="nl-BE"/>
              </w:rPr>
            </w:pPr>
            <w:r w:rsidRPr="004F39C3">
              <w:rPr>
                <w:rFonts w:eastAsia="Times New Roman"/>
                <w:color w:val="FFFFFF" w:themeColor="background1"/>
                <w:sz w:val="18"/>
                <w:szCs w:val="18"/>
                <w:lang w:val="nl-BE" w:eastAsia="en-US"/>
              </w:rPr>
              <w:t>Moyenne</w:t>
            </w:r>
          </w:p>
        </w:tc>
      </w:tr>
      <w:tr w:rsidR="00B80CD4" w:rsidRPr="004F39C3" w14:paraId="6F1C5630" w14:textId="77777777" w:rsidTr="00EC542A">
        <w:trPr>
          <w:cnfStyle w:val="000000100000" w:firstRow="0" w:lastRow="0" w:firstColumn="0" w:lastColumn="0" w:oddVBand="0" w:evenVBand="0" w:oddHBand="1" w:evenHBand="0" w:firstRowFirstColumn="0" w:firstRowLastColumn="0" w:lastRowFirstColumn="0" w:lastRowLastColumn="0"/>
          <w:trHeight w:val="449"/>
        </w:trPr>
        <w:tc>
          <w:tcPr>
            <w:tcW w:w="1560" w:type="dxa"/>
          </w:tcPr>
          <w:p w14:paraId="61C34472" w14:textId="30F35B1B" w:rsidR="00B53814" w:rsidRPr="004F39C3" w:rsidRDefault="00B80CD4" w:rsidP="00EC542A">
            <w:pPr>
              <w:jc w:val="left"/>
              <w:rPr>
                <w:sz w:val="18"/>
                <w:szCs w:val="18"/>
                <w:lang w:val="nl-BE"/>
              </w:rPr>
            </w:pPr>
            <w:proofErr w:type="spellStart"/>
            <w:r w:rsidRPr="004F39C3">
              <w:rPr>
                <w:sz w:val="18"/>
                <w:szCs w:val="18"/>
                <w:lang w:val="nl-BE"/>
              </w:rPr>
              <w:t>Avant</w:t>
            </w:r>
            <w:proofErr w:type="spellEnd"/>
          </w:p>
        </w:tc>
        <w:tc>
          <w:tcPr>
            <w:tcW w:w="992" w:type="dxa"/>
          </w:tcPr>
          <w:p w14:paraId="1B25A607" w14:textId="77777777" w:rsidR="00B53814" w:rsidRPr="004F39C3" w:rsidRDefault="00B53814" w:rsidP="00EC542A">
            <w:pPr>
              <w:rPr>
                <w:sz w:val="18"/>
                <w:szCs w:val="18"/>
                <w:lang w:val="nl-BE"/>
              </w:rPr>
            </w:pPr>
            <w:r w:rsidRPr="004F39C3">
              <w:rPr>
                <w:sz w:val="18"/>
                <w:szCs w:val="18"/>
              </w:rPr>
              <w:t>2</w:t>
            </w:r>
          </w:p>
        </w:tc>
        <w:tc>
          <w:tcPr>
            <w:tcW w:w="850" w:type="dxa"/>
          </w:tcPr>
          <w:p w14:paraId="0E5F2181" w14:textId="77777777" w:rsidR="00B53814" w:rsidRPr="004F39C3" w:rsidRDefault="00B53814" w:rsidP="00EC542A">
            <w:pPr>
              <w:rPr>
                <w:sz w:val="18"/>
                <w:szCs w:val="18"/>
              </w:rPr>
            </w:pPr>
            <w:r w:rsidRPr="004F39C3">
              <w:rPr>
                <w:sz w:val="18"/>
                <w:szCs w:val="18"/>
              </w:rPr>
              <w:t>3</w:t>
            </w:r>
          </w:p>
        </w:tc>
        <w:tc>
          <w:tcPr>
            <w:tcW w:w="851" w:type="dxa"/>
          </w:tcPr>
          <w:p w14:paraId="729505DC" w14:textId="77777777" w:rsidR="00B53814" w:rsidRPr="004F39C3" w:rsidRDefault="00B53814" w:rsidP="00EC542A">
            <w:pPr>
              <w:rPr>
                <w:sz w:val="18"/>
                <w:szCs w:val="18"/>
              </w:rPr>
            </w:pPr>
            <w:r w:rsidRPr="004F39C3">
              <w:rPr>
                <w:sz w:val="18"/>
                <w:szCs w:val="18"/>
              </w:rPr>
              <w:t>6</w:t>
            </w:r>
          </w:p>
        </w:tc>
        <w:tc>
          <w:tcPr>
            <w:tcW w:w="888" w:type="dxa"/>
          </w:tcPr>
          <w:p w14:paraId="5A0ECB5F" w14:textId="77777777" w:rsidR="00B53814" w:rsidRPr="004F39C3" w:rsidRDefault="00B53814" w:rsidP="00EC542A">
            <w:pPr>
              <w:rPr>
                <w:sz w:val="18"/>
                <w:szCs w:val="18"/>
              </w:rPr>
            </w:pPr>
            <w:r w:rsidRPr="004F39C3">
              <w:rPr>
                <w:sz w:val="18"/>
                <w:szCs w:val="18"/>
              </w:rPr>
              <w:t>8</w:t>
            </w:r>
          </w:p>
        </w:tc>
        <w:tc>
          <w:tcPr>
            <w:tcW w:w="840" w:type="dxa"/>
          </w:tcPr>
          <w:p w14:paraId="049CDE7F" w14:textId="77777777" w:rsidR="00B53814" w:rsidRPr="004F39C3" w:rsidRDefault="00B53814" w:rsidP="00EC542A">
            <w:pPr>
              <w:rPr>
                <w:sz w:val="18"/>
                <w:szCs w:val="18"/>
              </w:rPr>
            </w:pPr>
            <w:r w:rsidRPr="004F39C3">
              <w:rPr>
                <w:sz w:val="18"/>
                <w:szCs w:val="18"/>
              </w:rPr>
              <w:t>12</w:t>
            </w:r>
          </w:p>
        </w:tc>
        <w:tc>
          <w:tcPr>
            <w:tcW w:w="838" w:type="dxa"/>
          </w:tcPr>
          <w:p w14:paraId="11105F98" w14:textId="77777777" w:rsidR="00B53814" w:rsidRPr="004F39C3" w:rsidRDefault="00B53814" w:rsidP="00EC542A">
            <w:pPr>
              <w:rPr>
                <w:sz w:val="18"/>
                <w:szCs w:val="18"/>
              </w:rPr>
            </w:pPr>
            <w:r w:rsidRPr="004F39C3">
              <w:rPr>
                <w:sz w:val="18"/>
                <w:szCs w:val="18"/>
              </w:rPr>
              <w:t>15</w:t>
            </w:r>
          </w:p>
        </w:tc>
        <w:tc>
          <w:tcPr>
            <w:tcW w:w="838" w:type="dxa"/>
          </w:tcPr>
          <w:p w14:paraId="3C2FF933" w14:textId="77777777" w:rsidR="00B53814" w:rsidRPr="004F39C3" w:rsidRDefault="00B53814" w:rsidP="00EC542A">
            <w:pPr>
              <w:rPr>
                <w:sz w:val="18"/>
                <w:szCs w:val="18"/>
              </w:rPr>
            </w:pPr>
            <w:r w:rsidRPr="004F39C3">
              <w:rPr>
                <w:sz w:val="18"/>
                <w:szCs w:val="18"/>
              </w:rPr>
              <w:t>17</w:t>
            </w:r>
          </w:p>
        </w:tc>
        <w:tc>
          <w:tcPr>
            <w:tcW w:w="1369" w:type="dxa"/>
          </w:tcPr>
          <w:p w14:paraId="1777EF19" w14:textId="77777777" w:rsidR="00B53814" w:rsidRPr="004F39C3" w:rsidRDefault="00B53814" w:rsidP="00EC542A">
            <w:pPr>
              <w:rPr>
                <w:sz w:val="18"/>
                <w:szCs w:val="18"/>
                <w:lang w:val="nl-BE"/>
              </w:rPr>
            </w:pPr>
            <w:r w:rsidRPr="004F39C3">
              <w:rPr>
                <w:sz w:val="18"/>
                <w:szCs w:val="18"/>
              </w:rPr>
              <w:t>9</w:t>
            </w:r>
          </w:p>
        </w:tc>
      </w:tr>
      <w:tr w:rsidR="00B80CD4" w:rsidRPr="004F39C3" w14:paraId="121801C3" w14:textId="77777777" w:rsidTr="00EC542A">
        <w:trPr>
          <w:trHeight w:val="382"/>
        </w:trPr>
        <w:tc>
          <w:tcPr>
            <w:tcW w:w="1560" w:type="dxa"/>
          </w:tcPr>
          <w:p w14:paraId="2D2373EA" w14:textId="5CBE06A0" w:rsidR="00B53814" w:rsidRPr="004F39C3" w:rsidRDefault="00B53814" w:rsidP="00B80CD4">
            <w:pPr>
              <w:jc w:val="left"/>
              <w:rPr>
                <w:sz w:val="18"/>
                <w:szCs w:val="18"/>
                <w:lang w:val="nl-BE"/>
              </w:rPr>
            </w:pPr>
            <w:proofErr w:type="spellStart"/>
            <w:r w:rsidRPr="004F39C3">
              <w:rPr>
                <w:sz w:val="18"/>
                <w:szCs w:val="18"/>
                <w:lang w:val="nl-BE"/>
              </w:rPr>
              <w:t>Après</w:t>
            </w:r>
            <w:proofErr w:type="spellEnd"/>
          </w:p>
        </w:tc>
        <w:tc>
          <w:tcPr>
            <w:tcW w:w="992" w:type="dxa"/>
          </w:tcPr>
          <w:p w14:paraId="442290E1" w14:textId="77777777" w:rsidR="00B53814" w:rsidRPr="004F39C3" w:rsidRDefault="00B53814" w:rsidP="00EC542A">
            <w:pPr>
              <w:rPr>
                <w:sz w:val="18"/>
                <w:szCs w:val="18"/>
                <w:lang w:val="nl-BE"/>
              </w:rPr>
            </w:pPr>
            <w:r w:rsidRPr="004F39C3">
              <w:rPr>
                <w:sz w:val="18"/>
                <w:szCs w:val="18"/>
              </w:rPr>
              <w:t>2</w:t>
            </w:r>
          </w:p>
        </w:tc>
        <w:tc>
          <w:tcPr>
            <w:tcW w:w="850" w:type="dxa"/>
          </w:tcPr>
          <w:p w14:paraId="7D1CDC67" w14:textId="77777777" w:rsidR="00B53814" w:rsidRPr="004F39C3" w:rsidRDefault="00B53814" w:rsidP="00EC542A">
            <w:pPr>
              <w:rPr>
                <w:sz w:val="18"/>
                <w:szCs w:val="18"/>
              </w:rPr>
            </w:pPr>
            <w:r w:rsidRPr="004F39C3">
              <w:rPr>
                <w:sz w:val="18"/>
                <w:szCs w:val="18"/>
              </w:rPr>
              <w:t>3</w:t>
            </w:r>
          </w:p>
        </w:tc>
        <w:tc>
          <w:tcPr>
            <w:tcW w:w="851" w:type="dxa"/>
          </w:tcPr>
          <w:p w14:paraId="5740655C" w14:textId="77777777" w:rsidR="00B53814" w:rsidRPr="004F39C3" w:rsidRDefault="00B53814" w:rsidP="00EC542A">
            <w:pPr>
              <w:rPr>
                <w:sz w:val="18"/>
                <w:szCs w:val="18"/>
              </w:rPr>
            </w:pPr>
            <w:r w:rsidRPr="004F39C3">
              <w:rPr>
                <w:sz w:val="18"/>
                <w:szCs w:val="18"/>
              </w:rPr>
              <w:t>5</w:t>
            </w:r>
          </w:p>
        </w:tc>
        <w:tc>
          <w:tcPr>
            <w:tcW w:w="888" w:type="dxa"/>
          </w:tcPr>
          <w:p w14:paraId="5C7D63B2" w14:textId="77777777" w:rsidR="00B53814" w:rsidRPr="004F39C3" w:rsidRDefault="00B53814" w:rsidP="00EC542A">
            <w:pPr>
              <w:rPr>
                <w:sz w:val="18"/>
                <w:szCs w:val="18"/>
              </w:rPr>
            </w:pPr>
            <w:r w:rsidRPr="004F39C3">
              <w:rPr>
                <w:sz w:val="18"/>
                <w:szCs w:val="18"/>
              </w:rPr>
              <w:t>7</w:t>
            </w:r>
          </w:p>
        </w:tc>
        <w:tc>
          <w:tcPr>
            <w:tcW w:w="840" w:type="dxa"/>
          </w:tcPr>
          <w:p w14:paraId="5166855F" w14:textId="77777777" w:rsidR="00B53814" w:rsidRPr="004F39C3" w:rsidRDefault="00B53814" w:rsidP="00EC542A">
            <w:pPr>
              <w:rPr>
                <w:sz w:val="18"/>
                <w:szCs w:val="18"/>
              </w:rPr>
            </w:pPr>
            <w:r w:rsidRPr="004F39C3">
              <w:rPr>
                <w:sz w:val="18"/>
                <w:szCs w:val="18"/>
              </w:rPr>
              <w:t>10</w:t>
            </w:r>
          </w:p>
        </w:tc>
        <w:tc>
          <w:tcPr>
            <w:tcW w:w="838" w:type="dxa"/>
          </w:tcPr>
          <w:p w14:paraId="651761F4" w14:textId="77777777" w:rsidR="00B53814" w:rsidRPr="004F39C3" w:rsidRDefault="00B53814" w:rsidP="00EC542A">
            <w:pPr>
              <w:rPr>
                <w:sz w:val="18"/>
                <w:szCs w:val="18"/>
                <w:lang w:val="en-US"/>
              </w:rPr>
            </w:pPr>
            <w:r w:rsidRPr="004F39C3">
              <w:rPr>
                <w:sz w:val="18"/>
                <w:szCs w:val="18"/>
                <w:lang w:val="en-US"/>
              </w:rPr>
              <w:t>14</w:t>
            </w:r>
          </w:p>
        </w:tc>
        <w:tc>
          <w:tcPr>
            <w:tcW w:w="838" w:type="dxa"/>
          </w:tcPr>
          <w:p w14:paraId="4D15C2AE" w14:textId="77777777" w:rsidR="00B53814" w:rsidRPr="004F39C3" w:rsidRDefault="00B53814" w:rsidP="00EC542A">
            <w:pPr>
              <w:rPr>
                <w:sz w:val="18"/>
                <w:szCs w:val="18"/>
              </w:rPr>
            </w:pPr>
            <w:r w:rsidRPr="004F39C3">
              <w:rPr>
                <w:sz w:val="18"/>
                <w:szCs w:val="18"/>
              </w:rPr>
              <w:t>15</w:t>
            </w:r>
          </w:p>
        </w:tc>
        <w:tc>
          <w:tcPr>
            <w:tcW w:w="1369" w:type="dxa"/>
          </w:tcPr>
          <w:p w14:paraId="56DA5C69" w14:textId="77777777" w:rsidR="00B53814" w:rsidRPr="004F39C3" w:rsidRDefault="00B53814" w:rsidP="00EC542A">
            <w:pPr>
              <w:rPr>
                <w:sz w:val="18"/>
                <w:szCs w:val="18"/>
                <w:lang w:val="nl-BE"/>
              </w:rPr>
            </w:pPr>
            <w:r w:rsidRPr="004F39C3">
              <w:rPr>
                <w:sz w:val="18"/>
                <w:szCs w:val="18"/>
              </w:rPr>
              <w:t>8</w:t>
            </w:r>
          </w:p>
        </w:tc>
      </w:tr>
      <w:tr w:rsidR="00B80CD4" w:rsidRPr="004F39C3" w14:paraId="6E644440" w14:textId="77777777" w:rsidTr="00EC542A">
        <w:trPr>
          <w:cnfStyle w:val="010000000000" w:firstRow="0" w:lastRow="1" w:firstColumn="0" w:lastColumn="0" w:oddVBand="0" w:evenVBand="0" w:oddHBand="0" w:evenHBand="0" w:firstRowFirstColumn="0" w:firstRowLastColumn="0" w:lastRowFirstColumn="0" w:lastRowLastColumn="0"/>
        </w:trPr>
        <w:tc>
          <w:tcPr>
            <w:tcW w:w="1560" w:type="dxa"/>
          </w:tcPr>
          <w:p w14:paraId="3E08529B" w14:textId="77777777" w:rsidR="00B53814" w:rsidRPr="004F39C3" w:rsidRDefault="00B53814" w:rsidP="00EC542A">
            <w:pPr>
              <w:rPr>
                <w:sz w:val="18"/>
                <w:szCs w:val="18"/>
              </w:rPr>
            </w:pPr>
          </w:p>
        </w:tc>
        <w:tc>
          <w:tcPr>
            <w:tcW w:w="992" w:type="dxa"/>
          </w:tcPr>
          <w:p w14:paraId="6055EA0F" w14:textId="77777777" w:rsidR="00B53814" w:rsidRPr="004F39C3" w:rsidRDefault="00B53814" w:rsidP="00EC542A">
            <w:pPr>
              <w:rPr>
                <w:sz w:val="18"/>
                <w:szCs w:val="18"/>
              </w:rPr>
            </w:pPr>
          </w:p>
        </w:tc>
        <w:tc>
          <w:tcPr>
            <w:tcW w:w="850" w:type="dxa"/>
          </w:tcPr>
          <w:p w14:paraId="5B0134EA" w14:textId="77777777" w:rsidR="00B53814" w:rsidRPr="004F39C3" w:rsidRDefault="00B53814" w:rsidP="00EC542A">
            <w:pPr>
              <w:rPr>
                <w:sz w:val="18"/>
                <w:szCs w:val="18"/>
              </w:rPr>
            </w:pPr>
          </w:p>
        </w:tc>
        <w:tc>
          <w:tcPr>
            <w:tcW w:w="851" w:type="dxa"/>
          </w:tcPr>
          <w:p w14:paraId="5857CB53" w14:textId="77777777" w:rsidR="00B53814" w:rsidRPr="004F39C3" w:rsidRDefault="00B53814" w:rsidP="00EC542A">
            <w:pPr>
              <w:rPr>
                <w:sz w:val="18"/>
                <w:szCs w:val="18"/>
              </w:rPr>
            </w:pPr>
          </w:p>
        </w:tc>
        <w:tc>
          <w:tcPr>
            <w:tcW w:w="888" w:type="dxa"/>
          </w:tcPr>
          <w:p w14:paraId="3B201295" w14:textId="77777777" w:rsidR="00B53814" w:rsidRPr="004F39C3" w:rsidRDefault="00B53814" w:rsidP="00EC542A">
            <w:pPr>
              <w:rPr>
                <w:sz w:val="18"/>
                <w:szCs w:val="18"/>
              </w:rPr>
            </w:pPr>
          </w:p>
        </w:tc>
        <w:tc>
          <w:tcPr>
            <w:tcW w:w="840" w:type="dxa"/>
          </w:tcPr>
          <w:p w14:paraId="5875B964" w14:textId="77777777" w:rsidR="00B53814" w:rsidRPr="004F39C3" w:rsidRDefault="00B53814" w:rsidP="00EC542A">
            <w:pPr>
              <w:rPr>
                <w:sz w:val="18"/>
                <w:szCs w:val="18"/>
              </w:rPr>
            </w:pPr>
          </w:p>
        </w:tc>
        <w:tc>
          <w:tcPr>
            <w:tcW w:w="838" w:type="dxa"/>
          </w:tcPr>
          <w:p w14:paraId="3756144F" w14:textId="77777777" w:rsidR="00B53814" w:rsidRPr="004F39C3" w:rsidRDefault="00B53814" w:rsidP="00EC542A">
            <w:pPr>
              <w:rPr>
                <w:sz w:val="18"/>
                <w:szCs w:val="18"/>
              </w:rPr>
            </w:pPr>
          </w:p>
        </w:tc>
        <w:tc>
          <w:tcPr>
            <w:tcW w:w="838" w:type="dxa"/>
          </w:tcPr>
          <w:p w14:paraId="7C55F283" w14:textId="77777777" w:rsidR="00B53814" w:rsidRPr="004F39C3" w:rsidRDefault="00B53814" w:rsidP="00EC542A">
            <w:pPr>
              <w:rPr>
                <w:sz w:val="18"/>
                <w:szCs w:val="18"/>
              </w:rPr>
            </w:pPr>
          </w:p>
        </w:tc>
        <w:tc>
          <w:tcPr>
            <w:tcW w:w="1369" w:type="dxa"/>
          </w:tcPr>
          <w:p w14:paraId="0845874D" w14:textId="77777777" w:rsidR="00B53814" w:rsidRPr="004F39C3" w:rsidRDefault="00B53814" w:rsidP="00EC542A">
            <w:pPr>
              <w:rPr>
                <w:sz w:val="18"/>
                <w:szCs w:val="18"/>
              </w:rPr>
            </w:pPr>
          </w:p>
        </w:tc>
      </w:tr>
    </w:tbl>
    <w:p w14:paraId="179B3CB2" w14:textId="77777777" w:rsidR="00B53814" w:rsidRPr="00C901B1" w:rsidRDefault="00B53814" w:rsidP="00B53814">
      <w:pPr>
        <w:rPr>
          <w:lang w:val="fr-BE"/>
        </w:rPr>
      </w:pPr>
      <w:r w:rsidRPr="00C901B1">
        <w:rPr>
          <w:lang w:val="fr-BE"/>
        </w:rPr>
        <w:t>Source : Solidaris</w:t>
      </w:r>
    </w:p>
    <w:p w14:paraId="4201F088" w14:textId="77777777" w:rsidR="00A60BEA" w:rsidRPr="00A60BEA" w:rsidRDefault="00A60BEA" w:rsidP="00C901B1">
      <w:pPr>
        <w:spacing w:after="0"/>
        <w:rPr>
          <w:lang w:val="fr-BE"/>
        </w:rPr>
      </w:pPr>
    </w:p>
    <w:p w14:paraId="564710DF" w14:textId="49747C14" w:rsidR="009E72F7" w:rsidRDefault="00C901B1" w:rsidP="00C901B1">
      <w:pPr>
        <w:pStyle w:val="Titre2"/>
        <w:spacing w:before="0" w:after="0"/>
        <w:rPr>
          <w:lang w:val="fr-BE"/>
        </w:rPr>
      </w:pPr>
      <w:bookmarkStart w:id="19" w:name="_Toc130195927"/>
      <w:r>
        <w:rPr>
          <w:lang w:val="fr-BE"/>
        </w:rPr>
        <w:t>P</w:t>
      </w:r>
      <w:r w:rsidRPr="00C901B1">
        <w:rPr>
          <w:lang w:val="fr-BE"/>
        </w:rPr>
        <w:t>opulation sous traitement pour les molécules sélectionnées avant et après l’entrée en maison de repos</w:t>
      </w:r>
      <w:bookmarkEnd w:id="19"/>
    </w:p>
    <w:p w14:paraId="14C8F37E" w14:textId="77777777" w:rsidR="00C901B1" w:rsidRPr="00C901B1" w:rsidRDefault="00C901B1" w:rsidP="00C901B1">
      <w:pPr>
        <w:spacing w:after="0"/>
        <w:jc w:val="both"/>
        <w:rPr>
          <w:szCs w:val="20"/>
          <w:lang w:val="fr-BE"/>
        </w:rPr>
      </w:pPr>
    </w:p>
    <w:p w14:paraId="08222A14" w14:textId="3F6F0C54" w:rsidR="00C901B1" w:rsidRPr="00C901B1" w:rsidRDefault="00C901B1" w:rsidP="00C901B1">
      <w:pPr>
        <w:jc w:val="both"/>
        <w:rPr>
          <w:rFonts w:cs="Arial"/>
          <w:szCs w:val="20"/>
          <w:lang w:val="fr-BE"/>
        </w:rPr>
      </w:pPr>
      <w:r w:rsidRPr="00C901B1">
        <w:rPr>
          <w:rFonts w:cs="Arial"/>
          <w:szCs w:val="20"/>
          <w:lang w:val="fr-BE"/>
        </w:rPr>
        <w:t xml:space="preserve">Le </w:t>
      </w:r>
      <w:r w:rsidR="008F0420">
        <w:rPr>
          <w:rFonts w:cs="Arial"/>
          <w:szCs w:val="20"/>
          <w:lang w:val="fr-BE"/>
        </w:rPr>
        <w:t>T</w:t>
      </w:r>
      <w:r w:rsidRPr="00C901B1">
        <w:rPr>
          <w:rFonts w:cs="Arial"/>
          <w:szCs w:val="20"/>
          <w:lang w:val="fr-BE"/>
        </w:rPr>
        <w:t xml:space="preserve">ableau </w:t>
      </w:r>
      <w:r w:rsidR="008F0420">
        <w:rPr>
          <w:rFonts w:cs="Arial"/>
          <w:szCs w:val="20"/>
          <w:lang w:val="fr-BE"/>
        </w:rPr>
        <w:t>7</w:t>
      </w:r>
      <w:r w:rsidRPr="00C901B1">
        <w:rPr>
          <w:rFonts w:cs="Arial"/>
          <w:szCs w:val="20"/>
          <w:lang w:val="fr-BE"/>
        </w:rPr>
        <w:t xml:space="preserve"> </w:t>
      </w:r>
      <w:r w:rsidR="008F0420">
        <w:rPr>
          <w:rFonts w:cs="Arial"/>
          <w:szCs w:val="20"/>
          <w:lang w:val="fr-BE"/>
        </w:rPr>
        <w:t>donne</w:t>
      </w:r>
      <w:r w:rsidRPr="00C901B1">
        <w:rPr>
          <w:rFonts w:cs="Arial"/>
          <w:szCs w:val="20"/>
          <w:lang w:val="fr-BE"/>
        </w:rPr>
        <w:t>, par molécule sélectionnée, le nombre et le pourcentage d’affiliés traités avant et après l’entrée en maison de repos (délivrance d’au moins 30 DDD sur la période). Parmi les 10 molécules étudiées, on observe des variations plus ou moins grandes suite à l’institutionnalisation :</w:t>
      </w:r>
    </w:p>
    <w:p w14:paraId="21B4F27F" w14:textId="4A1C2D11" w:rsidR="00C901B1" w:rsidRPr="00C901B1" w:rsidRDefault="00C901B1" w:rsidP="00C901B1">
      <w:pPr>
        <w:pStyle w:val="Paragraphedeliste"/>
        <w:numPr>
          <w:ilvl w:val="0"/>
          <w:numId w:val="32"/>
        </w:numPr>
        <w:spacing w:before="120" w:after="120" w:line="240" w:lineRule="auto"/>
        <w:ind w:left="714" w:hanging="357"/>
        <w:contextualSpacing w:val="0"/>
        <w:jc w:val="both"/>
        <w:rPr>
          <w:rFonts w:cs="Arial"/>
          <w:szCs w:val="20"/>
          <w:lang w:val="fr-BE"/>
        </w:rPr>
      </w:pPr>
      <w:r w:rsidRPr="00C901B1">
        <w:rPr>
          <w:rFonts w:cs="Arial"/>
          <w:szCs w:val="20"/>
          <w:lang w:val="fr-BE"/>
        </w:rPr>
        <w:t xml:space="preserve">Pour une majorité de molécules, soit 7 sur 10, on observe une diminution de la population </w:t>
      </w:r>
      <w:r w:rsidR="008F0420">
        <w:rPr>
          <w:rFonts w:cs="Arial"/>
          <w:szCs w:val="20"/>
          <w:lang w:val="fr-BE"/>
        </w:rPr>
        <w:t>sous traitement</w:t>
      </w:r>
      <w:r w:rsidRPr="00C901B1">
        <w:rPr>
          <w:rFonts w:cs="Arial"/>
          <w:szCs w:val="20"/>
          <w:lang w:val="fr-BE"/>
        </w:rPr>
        <w:t>. La baisse la plus importante concerne les anti-inflammatoires pour lesquels la moitié de la populat</w:t>
      </w:r>
      <w:r w:rsidR="008F0420">
        <w:rPr>
          <w:rFonts w:cs="Arial"/>
          <w:szCs w:val="20"/>
          <w:lang w:val="fr-BE"/>
        </w:rPr>
        <w:t xml:space="preserve">ion n’en consomme plus suite à </w:t>
      </w:r>
      <w:r w:rsidRPr="00C901B1">
        <w:rPr>
          <w:rFonts w:cs="Arial"/>
          <w:szCs w:val="20"/>
          <w:lang w:val="fr-BE"/>
        </w:rPr>
        <w:t xml:space="preserve">l’entrée en maison de repos. C’est également le cas pour les antibiotiques (-20%), les statines (-17%), </w:t>
      </w:r>
      <w:r w:rsidR="008F0420">
        <w:rPr>
          <w:rFonts w:cs="Arial"/>
          <w:szCs w:val="20"/>
          <w:lang w:val="fr-BE"/>
        </w:rPr>
        <w:t xml:space="preserve">les antibiotiques (-14%), </w:t>
      </w:r>
      <w:r w:rsidRPr="00C901B1">
        <w:rPr>
          <w:rFonts w:cs="Arial"/>
          <w:szCs w:val="20"/>
          <w:lang w:val="fr-BE"/>
        </w:rPr>
        <w:t>les hypoglycémiants (-14%) et les antiagrégants (-11%) pour lesquels on observe une baisse de plus de 10%. La diminution est nettement plus limitée en ce qui concerne les antidouleurs opiacés (-3%) et les antihypertenseurs (-2%).</w:t>
      </w:r>
    </w:p>
    <w:p w14:paraId="4C7652B4" w14:textId="6F612CD9" w:rsidR="001A40FA" w:rsidRDefault="00C901B1" w:rsidP="00683B70">
      <w:pPr>
        <w:pStyle w:val="Paragraphedeliste"/>
        <w:numPr>
          <w:ilvl w:val="0"/>
          <w:numId w:val="0"/>
        </w:numPr>
        <w:spacing w:before="120" w:after="120" w:line="240" w:lineRule="auto"/>
        <w:ind w:left="714"/>
        <w:contextualSpacing w:val="0"/>
        <w:jc w:val="both"/>
        <w:rPr>
          <w:rStyle w:val="Accentuation"/>
          <w:lang w:val="fr-BE"/>
        </w:rPr>
      </w:pPr>
      <w:r w:rsidRPr="00683B70">
        <w:rPr>
          <w:rFonts w:cs="Arial"/>
          <w:szCs w:val="20"/>
          <w:lang w:val="fr-BE"/>
        </w:rPr>
        <w:t>Pour les 3 molécules restantes, on constate une augmentation de la population traitée suite à l’entrée en maison de repos : les inhibiteurs de la pompe à proton (+8%), les antidépresseurs (+8%) et les antipsychotiques (+14%).</w:t>
      </w:r>
      <w:r w:rsidR="008F0420" w:rsidRPr="00683B70">
        <w:rPr>
          <w:lang w:val="fr-BE"/>
        </w:rPr>
        <w:t xml:space="preserve"> Par rapport à notre précédente étude réalisée en 2013, cette augmentation est toutefois beaucoup moins prononcée pour les antidépresseurs (+8% contre +16% en 2010) et les antipsychotiques (+14% contre +34% en 2010).</w:t>
      </w:r>
      <w:r w:rsidR="001A40FA">
        <w:rPr>
          <w:rStyle w:val="Accentuation"/>
          <w:lang w:val="fr-BE"/>
        </w:rPr>
        <w:br w:type="page"/>
      </w:r>
    </w:p>
    <w:p w14:paraId="674EDC27" w14:textId="1686CD15" w:rsidR="00C901B1" w:rsidRPr="007D60F6" w:rsidRDefault="00C901B1" w:rsidP="007D60F6">
      <w:pPr>
        <w:pStyle w:val="Tableau"/>
      </w:pPr>
      <w:bookmarkStart w:id="20" w:name="_Toc130195835"/>
      <w:r w:rsidRPr="007D60F6">
        <w:lastRenderedPageBreak/>
        <w:t xml:space="preserve">Tableau 7 : Nombre et proportion de personnes sous traitement avant et après </w:t>
      </w:r>
      <w:r w:rsidR="00B808A1" w:rsidRPr="007D60F6">
        <w:t>l’entrée en maison de repos par type de médicament, 2020-2021</w:t>
      </w:r>
      <w:bookmarkEnd w:id="20"/>
    </w:p>
    <w:tbl>
      <w:tblPr>
        <w:tblStyle w:val="Solidaris"/>
        <w:tblW w:w="0" w:type="auto"/>
        <w:tblBorders>
          <w:insideV w:val="none" w:sz="0" w:space="0" w:color="auto"/>
        </w:tblBorders>
        <w:tblLayout w:type="fixed"/>
        <w:tblLook w:val="04E0" w:firstRow="1" w:lastRow="1" w:firstColumn="1" w:lastColumn="0" w:noHBand="0" w:noVBand="1"/>
      </w:tblPr>
      <w:tblGrid>
        <w:gridCol w:w="2268"/>
        <w:gridCol w:w="1418"/>
        <w:gridCol w:w="1417"/>
        <w:gridCol w:w="1276"/>
        <w:gridCol w:w="1134"/>
        <w:gridCol w:w="1513"/>
      </w:tblGrid>
      <w:tr w:rsidR="00C901B1" w:rsidRPr="004F39C3" w14:paraId="701F8ABF" w14:textId="77777777" w:rsidTr="00EC542A">
        <w:trPr>
          <w:cnfStyle w:val="100000000000" w:firstRow="1" w:lastRow="0" w:firstColumn="0" w:lastColumn="0" w:oddVBand="0" w:evenVBand="0" w:oddHBand="0" w:evenHBand="0" w:firstRowFirstColumn="0" w:firstRowLastColumn="0" w:lastRowFirstColumn="0" w:lastRowLastColumn="0"/>
          <w:trHeight w:val="239"/>
        </w:trPr>
        <w:tc>
          <w:tcPr>
            <w:tcW w:w="2268" w:type="dxa"/>
            <w:vMerge w:val="restart"/>
          </w:tcPr>
          <w:p w14:paraId="5760AB7E" w14:textId="77777777" w:rsidR="00C901B1" w:rsidRPr="004F39C3" w:rsidRDefault="00C901B1" w:rsidP="00EC542A">
            <w:pPr>
              <w:jc w:val="left"/>
              <w:rPr>
                <w:sz w:val="18"/>
                <w:szCs w:val="18"/>
                <w:lang w:val="nl-BE"/>
              </w:rPr>
            </w:pPr>
            <w:r w:rsidRPr="004F39C3">
              <w:rPr>
                <w:rFonts w:eastAsia="Times New Roman"/>
                <w:color w:val="FFFFFF" w:themeColor="background1"/>
                <w:sz w:val="18"/>
                <w:szCs w:val="18"/>
                <w:lang w:val="nl-BE" w:eastAsia="en-US"/>
              </w:rPr>
              <w:t>Type de médicament</w:t>
            </w:r>
          </w:p>
        </w:tc>
        <w:tc>
          <w:tcPr>
            <w:tcW w:w="2835" w:type="dxa"/>
            <w:gridSpan w:val="2"/>
          </w:tcPr>
          <w:p w14:paraId="329FED1F" w14:textId="77777777" w:rsidR="00C901B1" w:rsidRPr="004F39C3" w:rsidRDefault="00C901B1" w:rsidP="00EC542A">
            <w:pPr>
              <w:rPr>
                <w:b w:val="0"/>
                <w:bCs w:val="0"/>
                <w:sz w:val="18"/>
                <w:szCs w:val="18"/>
              </w:rPr>
            </w:pPr>
            <w:r w:rsidRPr="004F39C3">
              <w:rPr>
                <w:rFonts w:eastAsia="Times New Roman"/>
                <w:color w:val="FFFFFF" w:themeColor="background1"/>
                <w:sz w:val="18"/>
                <w:szCs w:val="18"/>
                <w:lang w:eastAsia="en-US"/>
              </w:rPr>
              <w:t>Nombre de personnes ayant un traitement</w:t>
            </w:r>
          </w:p>
        </w:tc>
        <w:tc>
          <w:tcPr>
            <w:tcW w:w="2410" w:type="dxa"/>
            <w:gridSpan w:val="2"/>
          </w:tcPr>
          <w:p w14:paraId="3C588AC4" w14:textId="77777777" w:rsidR="00C901B1" w:rsidRPr="004F39C3" w:rsidRDefault="00C901B1" w:rsidP="00EC542A">
            <w:pPr>
              <w:rPr>
                <w:b w:val="0"/>
                <w:bCs w:val="0"/>
                <w:sz w:val="18"/>
                <w:szCs w:val="18"/>
                <w:lang w:val="nl-BE"/>
              </w:rPr>
            </w:pPr>
            <w:r w:rsidRPr="004F39C3">
              <w:rPr>
                <w:rFonts w:eastAsia="Times New Roman"/>
                <w:color w:val="FFFFFF" w:themeColor="background1"/>
                <w:sz w:val="18"/>
                <w:szCs w:val="18"/>
                <w:lang w:val="nl-BE" w:eastAsia="en-US"/>
              </w:rPr>
              <w:t xml:space="preserve">% </w:t>
            </w:r>
            <w:proofErr w:type="spellStart"/>
            <w:r w:rsidRPr="004F39C3">
              <w:rPr>
                <w:rFonts w:eastAsia="Times New Roman"/>
                <w:color w:val="FFFFFF" w:themeColor="background1"/>
                <w:sz w:val="18"/>
                <w:szCs w:val="18"/>
                <w:lang w:val="nl-BE" w:eastAsia="en-US"/>
              </w:rPr>
              <w:t>avec</w:t>
            </w:r>
            <w:proofErr w:type="spellEnd"/>
            <w:r w:rsidRPr="004F39C3">
              <w:rPr>
                <w:rFonts w:eastAsia="Times New Roman"/>
                <w:color w:val="FFFFFF" w:themeColor="background1"/>
                <w:sz w:val="18"/>
                <w:szCs w:val="18"/>
                <w:lang w:val="nl-BE" w:eastAsia="en-US"/>
              </w:rPr>
              <w:t xml:space="preserve"> </w:t>
            </w:r>
            <w:proofErr w:type="spellStart"/>
            <w:r w:rsidRPr="004F39C3">
              <w:rPr>
                <w:rFonts w:eastAsia="Times New Roman"/>
                <w:color w:val="FFFFFF" w:themeColor="background1"/>
                <w:sz w:val="18"/>
                <w:szCs w:val="18"/>
                <w:lang w:val="nl-BE" w:eastAsia="en-US"/>
              </w:rPr>
              <w:t>traitement</w:t>
            </w:r>
            <w:proofErr w:type="spellEnd"/>
          </w:p>
        </w:tc>
        <w:tc>
          <w:tcPr>
            <w:tcW w:w="1513" w:type="dxa"/>
            <w:vMerge w:val="restart"/>
          </w:tcPr>
          <w:p w14:paraId="2BD04624" w14:textId="4559D9B7" w:rsidR="00C901B1" w:rsidRPr="004F39C3" w:rsidRDefault="004F39C3" w:rsidP="00C901B1">
            <w:pPr>
              <w:rPr>
                <w:sz w:val="18"/>
                <w:szCs w:val="18"/>
              </w:rPr>
            </w:pPr>
            <w:r w:rsidRPr="004F39C3">
              <w:rPr>
                <w:rFonts w:cs="Calibri"/>
                <w:color w:val="FFFFFF" w:themeColor="background1"/>
                <w:sz w:val="18"/>
                <w:szCs w:val="18"/>
              </w:rPr>
              <w:t>Différence</w:t>
            </w:r>
            <w:r w:rsidR="00C901B1" w:rsidRPr="004F39C3">
              <w:rPr>
                <w:rFonts w:eastAsia="Times New Roman"/>
                <w:color w:val="FFFFFF" w:themeColor="background1"/>
                <w:sz w:val="18"/>
                <w:szCs w:val="18"/>
                <w:lang w:eastAsia="en-US"/>
              </w:rPr>
              <w:t xml:space="preserve"> nombre d’affiliés (%)</w:t>
            </w:r>
          </w:p>
        </w:tc>
      </w:tr>
      <w:tr w:rsidR="00C901B1" w:rsidRPr="004F39C3" w14:paraId="3D256CDC" w14:textId="77777777" w:rsidTr="00EC542A">
        <w:trPr>
          <w:cnfStyle w:val="000000100000" w:firstRow="0" w:lastRow="0" w:firstColumn="0" w:lastColumn="0" w:oddVBand="0" w:evenVBand="0" w:oddHBand="1" w:evenHBand="0" w:firstRowFirstColumn="0" w:firstRowLastColumn="0" w:lastRowFirstColumn="0" w:lastRowLastColumn="0"/>
          <w:trHeight w:val="279"/>
        </w:trPr>
        <w:tc>
          <w:tcPr>
            <w:tcW w:w="2268" w:type="dxa"/>
            <w:vMerge/>
            <w:tcBorders>
              <w:right w:val="single" w:sz="4" w:space="0" w:color="FFFFFF" w:themeColor="background1"/>
            </w:tcBorders>
            <w:shd w:val="solid" w:color="D90030" w:fill="FFFFFF"/>
          </w:tcPr>
          <w:p w14:paraId="051AC005" w14:textId="77777777" w:rsidR="00C901B1" w:rsidRPr="004F39C3" w:rsidRDefault="00C901B1" w:rsidP="00EC542A">
            <w:pPr>
              <w:rPr>
                <w:rFonts w:eastAsia="Times New Roman"/>
                <w:color w:val="FFFFFF" w:themeColor="background1"/>
                <w:sz w:val="18"/>
                <w:szCs w:val="18"/>
              </w:rPr>
            </w:pPr>
          </w:p>
        </w:tc>
        <w:tc>
          <w:tcPr>
            <w:tcW w:w="1418" w:type="dxa"/>
            <w:tcBorders>
              <w:left w:val="single" w:sz="4" w:space="0" w:color="FFFFFF" w:themeColor="background1"/>
            </w:tcBorders>
            <w:shd w:val="solid" w:color="D90030" w:fill="FFFFFF"/>
          </w:tcPr>
          <w:p w14:paraId="6E453264" w14:textId="6E600585" w:rsidR="00C901B1" w:rsidRPr="004F39C3" w:rsidRDefault="00C901B1" w:rsidP="00C901B1">
            <w:pPr>
              <w:spacing w:before="60" w:after="60"/>
              <w:rPr>
                <w:color w:val="FFFFFF"/>
                <w:sz w:val="18"/>
                <w:szCs w:val="18"/>
                <w:lang w:val="nl-BE"/>
              </w:rPr>
            </w:pPr>
            <w:proofErr w:type="spellStart"/>
            <w:r w:rsidRPr="004F39C3">
              <w:rPr>
                <w:color w:val="FFFFFF"/>
                <w:sz w:val="18"/>
                <w:szCs w:val="18"/>
                <w:lang w:val="nl-BE"/>
              </w:rPr>
              <w:t>Avant</w:t>
            </w:r>
            <w:proofErr w:type="spellEnd"/>
          </w:p>
        </w:tc>
        <w:tc>
          <w:tcPr>
            <w:tcW w:w="1417" w:type="dxa"/>
            <w:tcBorders>
              <w:left w:val="nil"/>
              <w:right w:val="single" w:sz="4" w:space="0" w:color="FFFFFF" w:themeColor="background1"/>
            </w:tcBorders>
            <w:shd w:val="solid" w:color="D90030" w:fill="FFFFFF"/>
          </w:tcPr>
          <w:p w14:paraId="6FAB1778" w14:textId="77777777" w:rsidR="00C901B1" w:rsidRPr="004F39C3" w:rsidRDefault="00C901B1" w:rsidP="00EC542A">
            <w:pPr>
              <w:rPr>
                <w:color w:val="F2F2F2" w:themeColor="background1" w:themeShade="F2"/>
                <w:sz w:val="18"/>
                <w:szCs w:val="18"/>
                <w:lang w:val="nl-BE"/>
              </w:rPr>
            </w:pPr>
            <w:proofErr w:type="spellStart"/>
            <w:r w:rsidRPr="004F39C3">
              <w:rPr>
                <w:color w:val="FFFFFF" w:themeColor="background1"/>
                <w:sz w:val="18"/>
                <w:szCs w:val="18"/>
                <w:lang w:val="nl-BE"/>
              </w:rPr>
              <w:t>Après</w:t>
            </w:r>
            <w:proofErr w:type="spellEnd"/>
          </w:p>
        </w:tc>
        <w:tc>
          <w:tcPr>
            <w:tcW w:w="1276" w:type="dxa"/>
            <w:tcBorders>
              <w:left w:val="single" w:sz="4" w:space="0" w:color="FFFFFF" w:themeColor="background1"/>
            </w:tcBorders>
            <w:shd w:val="solid" w:color="D90030" w:fill="FFFFFF"/>
          </w:tcPr>
          <w:p w14:paraId="11B03B3A" w14:textId="2A599D05" w:rsidR="00C901B1" w:rsidRPr="004F39C3" w:rsidRDefault="00C901B1" w:rsidP="00C901B1">
            <w:pPr>
              <w:rPr>
                <w:color w:val="F2F2F2" w:themeColor="background1" w:themeShade="F2"/>
                <w:sz w:val="18"/>
                <w:szCs w:val="18"/>
                <w:lang w:val="nl-BE"/>
              </w:rPr>
            </w:pPr>
            <w:proofErr w:type="spellStart"/>
            <w:r w:rsidRPr="004F39C3">
              <w:rPr>
                <w:color w:val="FFFFFF"/>
                <w:sz w:val="18"/>
                <w:szCs w:val="18"/>
                <w:lang w:val="nl-BE"/>
              </w:rPr>
              <w:t>Avant</w:t>
            </w:r>
            <w:proofErr w:type="spellEnd"/>
          </w:p>
        </w:tc>
        <w:tc>
          <w:tcPr>
            <w:tcW w:w="1134" w:type="dxa"/>
            <w:tcBorders>
              <w:right w:val="single" w:sz="4" w:space="0" w:color="FFFFFF" w:themeColor="background1"/>
            </w:tcBorders>
            <w:shd w:val="solid" w:color="D90030" w:fill="FFFFFF"/>
          </w:tcPr>
          <w:p w14:paraId="30DCD173" w14:textId="77777777" w:rsidR="00C901B1" w:rsidRPr="004F39C3" w:rsidRDefault="00C901B1" w:rsidP="00EC542A">
            <w:pPr>
              <w:rPr>
                <w:sz w:val="18"/>
                <w:szCs w:val="18"/>
                <w:lang w:val="nl-BE"/>
              </w:rPr>
            </w:pPr>
            <w:proofErr w:type="spellStart"/>
            <w:r w:rsidRPr="004F39C3">
              <w:rPr>
                <w:color w:val="FFFFFF" w:themeColor="background1"/>
                <w:sz w:val="18"/>
                <w:szCs w:val="18"/>
                <w:lang w:val="nl-BE"/>
              </w:rPr>
              <w:t>Après</w:t>
            </w:r>
            <w:proofErr w:type="spellEnd"/>
          </w:p>
        </w:tc>
        <w:tc>
          <w:tcPr>
            <w:tcW w:w="1513" w:type="dxa"/>
            <w:vMerge/>
            <w:tcBorders>
              <w:left w:val="single" w:sz="4" w:space="0" w:color="FFFFFF" w:themeColor="background1"/>
            </w:tcBorders>
            <w:shd w:val="solid" w:color="D90030" w:fill="FFFFFF"/>
          </w:tcPr>
          <w:p w14:paraId="225BF728" w14:textId="77777777" w:rsidR="00C901B1" w:rsidRPr="004F39C3" w:rsidRDefault="00C901B1" w:rsidP="00EC542A">
            <w:pPr>
              <w:rPr>
                <w:color w:val="FFFFFF" w:themeColor="background1"/>
                <w:sz w:val="18"/>
                <w:szCs w:val="18"/>
                <w:lang w:val="nl-BE"/>
              </w:rPr>
            </w:pPr>
          </w:p>
        </w:tc>
      </w:tr>
      <w:tr w:rsidR="00C901B1" w:rsidRPr="004F39C3" w14:paraId="2E1F0335" w14:textId="77777777" w:rsidTr="00EC542A">
        <w:trPr>
          <w:trHeight w:val="340"/>
        </w:trPr>
        <w:tc>
          <w:tcPr>
            <w:tcW w:w="2268" w:type="dxa"/>
            <w:tcBorders>
              <w:right w:val="single" w:sz="4" w:space="0" w:color="DA002F"/>
            </w:tcBorders>
          </w:tcPr>
          <w:p w14:paraId="5FCDF7A8" w14:textId="77777777" w:rsidR="00C901B1" w:rsidRPr="004F39C3" w:rsidRDefault="00C901B1" w:rsidP="00EC542A">
            <w:pPr>
              <w:jc w:val="left"/>
              <w:rPr>
                <w:sz w:val="18"/>
                <w:szCs w:val="18"/>
                <w:lang w:val="nl-BE"/>
              </w:rPr>
            </w:pPr>
            <w:r w:rsidRPr="004F39C3">
              <w:rPr>
                <w:sz w:val="18"/>
                <w:szCs w:val="18"/>
                <w:lang w:val="nl-BE"/>
              </w:rPr>
              <w:t>Anti-</w:t>
            </w:r>
            <w:proofErr w:type="spellStart"/>
            <w:r w:rsidRPr="004F39C3">
              <w:rPr>
                <w:sz w:val="18"/>
                <w:szCs w:val="18"/>
                <w:lang w:val="nl-BE"/>
              </w:rPr>
              <w:t>inflammatoires</w:t>
            </w:r>
            <w:proofErr w:type="spellEnd"/>
          </w:p>
        </w:tc>
        <w:tc>
          <w:tcPr>
            <w:tcW w:w="1418" w:type="dxa"/>
            <w:tcBorders>
              <w:left w:val="single" w:sz="4" w:space="0" w:color="DA002F"/>
              <w:right w:val="single" w:sz="4" w:space="0" w:color="DA002F"/>
            </w:tcBorders>
          </w:tcPr>
          <w:p w14:paraId="7BA2C9A9" w14:textId="77777777" w:rsidR="00C901B1" w:rsidRPr="004F39C3" w:rsidRDefault="00C901B1" w:rsidP="00EC542A">
            <w:pPr>
              <w:rPr>
                <w:sz w:val="18"/>
                <w:szCs w:val="18"/>
                <w:lang w:val="nl-BE"/>
              </w:rPr>
            </w:pPr>
            <w:r w:rsidRPr="004F39C3">
              <w:rPr>
                <w:sz w:val="18"/>
                <w:szCs w:val="18"/>
              </w:rPr>
              <w:t>247</w:t>
            </w:r>
          </w:p>
        </w:tc>
        <w:tc>
          <w:tcPr>
            <w:tcW w:w="1417" w:type="dxa"/>
            <w:tcBorders>
              <w:left w:val="single" w:sz="4" w:space="0" w:color="DA002F"/>
              <w:right w:val="single" w:sz="4" w:space="0" w:color="DA002F"/>
            </w:tcBorders>
          </w:tcPr>
          <w:p w14:paraId="2F1F4C3C" w14:textId="77777777" w:rsidR="00C901B1" w:rsidRPr="004F39C3" w:rsidRDefault="00C901B1" w:rsidP="00EC542A">
            <w:pPr>
              <w:rPr>
                <w:sz w:val="18"/>
                <w:szCs w:val="18"/>
                <w:lang w:val="nl-BE"/>
              </w:rPr>
            </w:pPr>
            <w:r w:rsidRPr="004F39C3">
              <w:rPr>
                <w:sz w:val="18"/>
                <w:szCs w:val="18"/>
              </w:rPr>
              <w:t>124</w:t>
            </w:r>
          </w:p>
        </w:tc>
        <w:tc>
          <w:tcPr>
            <w:tcW w:w="1276" w:type="dxa"/>
            <w:tcBorders>
              <w:left w:val="single" w:sz="4" w:space="0" w:color="DA002F"/>
              <w:right w:val="single" w:sz="4" w:space="0" w:color="DA002F"/>
            </w:tcBorders>
          </w:tcPr>
          <w:p w14:paraId="5EBC6CBE" w14:textId="77777777" w:rsidR="00C901B1" w:rsidRPr="004F39C3" w:rsidRDefault="00C901B1" w:rsidP="00EC542A">
            <w:pPr>
              <w:rPr>
                <w:sz w:val="18"/>
                <w:szCs w:val="18"/>
                <w:lang w:val="nl-BE"/>
              </w:rPr>
            </w:pPr>
            <w:r w:rsidRPr="004F39C3">
              <w:rPr>
                <w:sz w:val="18"/>
                <w:szCs w:val="18"/>
              </w:rPr>
              <w:t>7%</w:t>
            </w:r>
          </w:p>
        </w:tc>
        <w:tc>
          <w:tcPr>
            <w:tcW w:w="1134" w:type="dxa"/>
            <w:tcBorders>
              <w:left w:val="single" w:sz="4" w:space="0" w:color="DA002F"/>
            </w:tcBorders>
          </w:tcPr>
          <w:p w14:paraId="7DA491C8" w14:textId="77777777" w:rsidR="00C901B1" w:rsidRPr="004F39C3" w:rsidRDefault="00C901B1" w:rsidP="00EC542A">
            <w:pPr>
              <w:rPr>
                <w:sz w:val="18"/>
                <w:szCs w:val="18"/>
                <w:lang w:val="nl-BE"/>
              </w:rPr>
            </w:pPr>
            <w:r w:rsidRPr="004F39C3">
              <w:rPr>
                <w:sz w:val="18"/>
                <w:szCs w:val="18"/>
              </w:rPr>
              <w:t>3%</w:t>
            </w:r>
          </w:p>
        </w:tc>
        <w:tc>
          <w:tcPr>
            <w:tcW w:w="1513" w:type="dxa"/>
            <w:tcBorders>
              <w:left w:val="single" w:sz="4" w:space="0" w:color="DA002F"/>
            </w:tcBorders>
          </w:tcPr>
          <w:p w14:paraId="2D79A0EA" w14:textId="77777777" w:rsidR="00C901B1" w:rsidRPr="004F39C3" w:rsidRDefault="00C901B1" w:rsidP="00EC542A">
            <w:pPr>
              <w:rPr>
                <w:sz w:val="18"/>
                <w:szCs w:val="18"/>
                <w:lang w:val="nl-BE"/>
              </w:rPr>
            </w:pPr>
            <w:r w:rsidRPr="004F39C3">
              <w:rPr>
                <w:sz w:val="18"/>
                <w:szCs w:val="18"/>
              </w:rPr>
              <w:t>-50%</w:t>
            </w:r>
          </w:p>
        </w:tc>
      </w:tr>
      <w:tr w:rsidR="00C901B1" w:rsidRPr="004F39C3" w14:paraId="02B6F96C" w14:textId="77777777" w:rsidTr="00EC542A">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76CAC5B1" w14:textId="77777777" w:rsidR="00C901B1" w:rsidRPr="004F39C3" w:rsidRDefault="00C901B1" w:rsidP="00EC542A">
            <w:pPr>
              <w:jc w:val="left"/>
              <w:rPr>
                <w:sz w:val="18"/>
                <w:szCs w:val="18"/>
                <w:lang w:val="nl-BE"/>
              </w:rPr>
            </w:pPr>
            <w:proofErr w:type="spellStart"/>
            <w:r w:rsidRPr="004F39C3">
              <w:rPr>
                <w:sz w:val="18"/>
                <w:szCs w:val="18"/>
                <w:lang w:val="nl-BE"/>
              </w:rPr>
              <w:t>Antibiotiques</w:t>
            </w:r>
            <w:proofErr w:type="spellEnd"/>
          </w:p>
        </w:tc>
        <w:tc>
          <w:tcPr>
            <w:tcW w:w="1418" w:type="dxa"/>
            <w:tcBorders>
              <w:left w:val="single" w:sz="4" w:space="0" w:color="DA002F"/>
              <w:right w:val="single" w:sz="4" w:space="0" w:color="DA002F"/>
            </w:tcBorders>
          </w:tcPr>
          <w:p w14:paraId="5C0F1567" w14:textId="77777777" w:rsidR="00C901B1" w:rsidRPr="004F39C3" w:rsidRDefault="00C901B1" w:rsidP="00EC542A">
            <w:pPr>
              <w:rPr>
                <w:sz w:val="18"/>
                <w:szCs w:val="18"/>
                <w:lang w:val="nl-BE"/>
              </w:rPr>
            </w:pPr>
            <w:r w:rsidRPr="004F39C3">
              <w:rPr>
                <w:sz w:val="18"/>
                <w:szCs w:val="18"/>
              </w:rPr>
              <w:t>454</w:t>
            </w:r>
          </w:p>
        </w:tc>
        <w:tc>
          <w:tcPr>
            <w:tcW w:w="1417" w:type="dxa"/>
            <w:tcBorders>
              <w:left w:val="single" w:sz="4" w:space="0" w:color="DA002F"/>
              <w:right w:val="single" w:sz="4" w:space="0" w:color="DA002F"/>
            </w:tcBorders>
          </w:tcPr>
          <w:p w14:paraId="49B5053B" w14:textId="77777777" w:rsidR="00C901B1" w:rsidRPr="004F39C3" w:rsidRDefault="00C901B1" w:rsidP="00EC542A">
            <w:pPr>
              <w:rPr>
                <w:sz w:val="18"/>
                <w:szCs w:val="18"/>
                <w:lang w:val="nl-BE"/>
              </w:rPr>
            </w:pPr>
            <w:r w:rsidRPr="004F39C3">
              <w:rPr>
                <w:sz w:val="18"/>
                <w:szCs w:val="18"/>
              </w:rPr>
              <w:t>362</w:t>
            </w:r>
          </w:p>
        </w:tc>
        <w:tc>
          <w:tcPr>
            <w:tcW w:w="1276" w:type="dxa"/>
            <w:tcBorders>
              <w:left w:val="single" w:sz="4" w:space="0" w:color="DA002F"/>
              <w:right w:val="single" w:sz="4" w:space="0" w:color="DA002F"/>
            </w:tcBorders>
          </w:tcPr>
          <w:p w14:paraId="40968917" w14:textId="77777777" w:rsidR="00C901B1" w:rsidRPr="004F39C3" w:rsidRDefault="00C901B1" w:rsidP="00EC542A">
            <w:pPr>
              <w:rPr>
                <w:sz w:val="18"/>
                <w:szCs w:val="18"/>
                <w:lang w:val="nl-BE"/>
              </w:rPr>
            </w:pPr>
            <w:r w:rsidRPr="004F39C3">
              <w:rPr>
                <w:sz w:val="18"/>
                <w:szCs w:val="18"/>
              </w:rPr>
              <w:t>12%</w:t>
            </w:r>
          </w:p>
        </w:tc>
        <w:tc>
          <w:tcPr>
            <w:tcW w:w="1134" w:type="dxa"/>
            <w:tcBorders>
              <w:left w:val="single" w:sz="4" w:space="0" w:color="DA002F"/>
            </w:tcBorders>
          </w:tcPr>
          <w:p w14:paraId="6A161D55" w14:textId="77777777" w:rsidR="00C901B1" w:rsidRPr="004F39C3" w:rsidRDefault="00C901B1" w:rsidP="00EC542A">
            <w:pPr>
              <w:rPr>
                <w:sz w:val="18"/>
                <w:szCs w:val="18"/>
                <w:lang w:val="nl-BE"/>
              </w:rPr>
            </w:pPr>
            <w:r w:rsidRPr="004F39C3">
              <w:rPr>
                <w:sz w:val="18"/>
                <w:szCs w:val="18"/>
              </w:rPr>
              <w:t>10%</w:t>
            </w:r>
          </w:p>
        </w:tc>
        <w:tc>
          <w:tcPr>
            <w:tcW w:w="1513" w:type="dxa"/>
            <w:tcBorders>
              <w:left w:val="single" w:sz="4" w:space="0" w:color="DA002F"/>
            </w:tcBorders>
          </w:tcPr>
          <w:p w14:paraId="6D7027E2" w14:textId="77777777" w:rsidR="00C901B1" w:rsidRPr="004F39C3" w:rsidRDefault="00C901B1" w:rsidP="00EC542A">
            <w:pPr>
              <w:rPr>
                <w:sz w:val="18"/>
                <w:szCs w:val="18"/>
                <w:lang w:val="nl-BE"/>
              </w:rPr>
            </w:pPr>
            <w:r w:rsidRPr="004F39C3">
              <w:rPr>
                <w:sz w:val="18"/>
                <w:szCs w:val="18"/>
              </w:rPr>
              <w:t>-20%</w:t>
            </w:r>
          </w:p>
        </w:tc>
      </w:tr>
      <w:tr w:rsidR="00C901B1" w:rsidRPr="004F39C3" w14:paraId="78CED58A" w14:textId="77777777" w:rsidTr="00EC542A">
        <w:trPr>
          <w:trHeight w:val="340"/>
        </w:trPr>
        <w:tc>
          <w:tcPr>
            <w:tcW w:w="2268" w:type="dxa"/>
            <w:tcBorders>
              <w:right w:val="single" w:sz="4" w:space="0" w:color="DA002F"/>
            </w:tcBorders>
          </w:tcPr>
          <w:p w14:paraId="408B6280" w14:textId="77777777" w:rsidR="00C901B1" w:rsidRPr="004F39C3" w:rsidRDefault="00C901B1" w:rsidP="00EC542A">
            <w:pPr>
              <w:jc w:val="left"/>
              <w:rPr>
                <w:sz w:val="18"/>
                <w:szCs w:val="18"/>
                <w:lang w:val="nl-BE"/>
              </w:rPr>
            </w:pPr>
            <w:r w:rsidRPr="004F39C3">
              <w:rPr>
                <w:sz w:val="18"/>
                <w:szCs w:val="18"/>
                <w:lang w:val="nl-BE"/>
              </w:rPr>
              <w:t>Statines</w:t>
            </w:r>
          </w:p>
        </w:tc>
        <w:tc>
          <w:tcPr>
            <w:tcW w:w="1418" w:type="dxa"/>
            <w:tcBorders>
              <w:left w:val="single" w:sz="4" w:space="0" w:color="DA002F"/>
              <w:right w:val="single" w:sz="4" w:space="0" w:color="DA002F"/>
            </w:tcBorders>
          </w:tcPr>
          <w:p w14:paraId="3E4EA02B" w14:textId="77777777" w:rsidR="00C901B1" w:rsidRPr="004F39C3" w:rsidRDefault="00C901B1" w:rsidP="00EC542A">
            <w:pPr>
              <w:rPr>
                <w:sz w:val="18"/>
                <w:szCs w:val="18"/>
                <w:lang w:val="nl-BE"/>
              </w:rPr>
            </w:pPr>
            <w:r w:rsidRPr="004F39C3">
              <w:rPr>
                <w:sz w:val="18"/>
                <w:szCs w:val="18"/>
              </w:rPr>
              <w:t>1447</w:t>
            </w:r>
          </w:p>
        </w:tc>
        <w:tc>
          <w:tcPr>
            <w:tcW w:w="1417" w:type="dxa"/>
            <w:tcBorders>
              <w:left w:val="single" w:sz="4" w:space="0" w:color="DA002F"/>
              <w:right w:val="single" w:sz="4" w:space="0" w:color="DA002F"/>
            </w:tcBorders>
          </w:tcPr>
          <w:p w14:paraId="69637007" w14:textId="77777777" w:rsidR="00C901B1" w:rsidRPr="004F39C3" w:rsidRDefault="00C901B1" w:rsidP="00EC542A">
            <w:pPr>
              <w:rPr>
                <w:sz w:val="18"/>
                <w:szCs w:val="18"/>
                <w:lang w:val="nl-BE"/>
              </w:rPr>
            </w:pPr>
            <w:r w:rsidRPr="004F39C3">
              <w:rPr>
                <w:sz w:val="18"/>
                <w:szCs w:val="18"/>
              </w:rPr>
              <w:t>1203</w:t>
            </w:r>
          </w:p>
        </w:tc>
        <w:tc>
          <w:tcPr>
            <w:tcW w:w="1276" w:type="dxa"/>
            <w:tcBorders>
              <w:left w:val="single" w:sz="4" w:space="0" w:color="DA002F"/>
              <w:right w:val="single" w:sz="4" w:space="0" w:color="DA002F"/>
            </w:tcBorders>
          </w:tcPr>
          <w:p w14:paraId="26CDB7A7" w14:textId="77777777" w:rsidR="00C901B1" w:rsidRPr="004F39C3" w:rsidRDefault="00C901B1" w:rsidP="00EC542A">
            <w:pPr>
              <w:rPr>
                <w:sz w:val="18"/>
                <w:szCs w:val="18"/>
                <w:lang w:val="nl-BE"/>
              </w:rPr>
            </w:pPr>
            <w:r w:rsidRPr="004F39C3">
              <w:rPr>
                <w:sz w:val="18"/>
                <w:szCs w:val="18"/>
              </w:rPr>
              <w:t>39%</w:t>
            </w:r>
          </w:p>
        </w:tc>
        <w:tc>
          <w:tcPr>
            <w:tcW w:w="1134" w:type="dxa"/>
            <w:tcBorders>
              <w:left w:val="single" w:sz="4" w:space="0" w:color="DA002F"/>
            </w:tcBorders>
          </w:tcPr>
          <w:p w14:paraId="3D0B45DA" w14:textId="77777777" w:rsidR="00C901B1" w:rsidRPr="004F39C3" w:rsidRDefault="00C901B1" w:rsidP="00EC542A">
            <w:pPr>
              <w:rPr>
                <w:sz w:val="18"/>
                <w:szCs w:val="18"/>
                <w:lang w:val="nl-BE"/>
              </w:rPr>
            </w:pPr>
            <w:r w:rsidRPr="004F39C3">
              <w:rPr>
                <w:sz w:val="18"/>
                <w:szCs w:val="18"/>
              </w:rPr>
              <w:t>32%</w:t>
            </w:r>
          </w:p>
        </w:tc>
        <w:tc>
          <w:tcPr>
            <w:tcW w:w="1513" w:type="dxa"/>
            <w:tcBorders>
              <w:left w:val="single" w:sz="4" w:space="0" w:color="DA002F"/>
            </w:tcBorders>
          </w:tcPr>
          <w:p w14:paraId="7483A145" w14:textId="77777777" w:rsidR="00C901B1" w:rsidRPr="004F39C3" w:rsidRDefault="00C901B1" w:rsidP="00EC542A">
            <w:pPr>
              <w:rPr>
                <w:sz w:val="18"/>
                <w:szCs w:val="18"/>
                <w:lang w:val="nl-BE"/>
              </w:rPr>
            </w:pPr>
            <w:r w:rsidRPr="004F39C3">
              <w:rPr>
                <w:sz w:val="18"/>
                <w:szCs w:val="18"/>
              </w:rPr>
              <w:t>-17%</w:t>
            </w:r>
          </w:p>
        </w:tc>
      </w:tr>
      <w:tr w:rsidR="00C901B1" w:rsidRPr="004F39C3" w14:paraId="10F800D1" w14:textId="77777777" w:rsidTr="00EC542A">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31E30A8A" w14:textId="606AAC28" w:rsidR="00C901B1" w:rsidRPr="004F39C3" w:rsidRDefault="008A67D9" w:rsidP="00EC542A">
            <w:pPr>
              <w:jc w:val="left"/>
              <w:rPr>
                <w:sz w:val="18"/>
                <w:szCs w:val="18"/>
                <w:lang w:val="nl-BE"/>
              </w:rPr>
            </w:pPr>
            <w:proofErr w:type="spellStart"/>
            <w:r w:rsidRPr="004F39C3">
              <w:rPr>
                <w:sz w:val="18"/>
                <w:szCs w:val="18"/>
                <w:lang w:val="nl-BE"/>
              </w:rPr>
              <w:t>Hypoglycémiant</w:t>
            </w:r>
            <w:r w:rsidR="00C901B1" w:rsidRPr="004F39C3">
              <w:rPr>
                <w:sz w:val="18"/>
                <w:szCs w:val="18"/>
                <w:lang w:val="nl-BE"/>
              </w:rPr>
              <w:t>s</w:t>
            </w:r>
            <w:proofErr w:type="spellEnd"/>
          </w:p>
        </w:tc>
        <w:tc>
          <w:tcPr>
            <w:tcW w:w="1418" w:type="dxa"/>
            <w:tcBorders>
              <w:left w:val="single" w:sz="4" w:space="0" w:color="DA002F"/>
              <w:right w:val="single" w:sz="4" w:space="0" w:color="DA002F"/>
            </w:tcBorders>
          </w:tcPr>
          <w:p w14:paraId="6E183043" w14:textId="77777777" w:rsidR="00C901B1" w:rsidRPr="004F39C3" w:rsidRDefault="00C901B1" w:rsidP="00EC542A">
            <w:pPr>
              <w:rPr>
                <w:sz w:val="18"/>
                <w:szCs w:val="18"/>
                <w:lang w:val="nl-BE"/>
              </w:rPr>
            </w:pPr>
            <w:r w:rsidRPr="004F39C3">
              <w:rPr>
                <w:sz w:val="18"/>
                <w:szCs w:val="18"/>
              </w:rPr>
              <w:t>731</w:t>
            </w:r>
          </w:p>
        </w:tc>
        <w:tc>
          <w:tcPr>
            <w:tcW w:w="1417" w:type="dxa"/>
            <w:tcBorders>
              <w:left w:val="single" w:sz="4" w:space="0" w:color="DA002F"/>
              <w:right w:val="single" w:sz="4" w:space="0" w:color="DA002F"/>
            </w:tcBorders>
          </w:tcPr>
          <w:p w14:paraId="31007C44" w14:textId="77777777" w:rsidR="00C901B1" w:rsidRPr="004F39C3" w:rsidRDefault="00C901B1" w:rsidP="00EC542A">
            <w:pPr>
              <w:rPr>
                <w:sz w:val="18"/>
                <w:szCs w:val="18"/>
                <w:lang w:val="nl-BE"/>
              </w:rPr>
            </w:pPr>
            <w:r w:rsidRPr="004F39C3">
              <w:rPr>
                <w:sz w:val="18"/>
                <w:szCs w:val="18"/>
              </w:rPr>
              <w:t>626</w:t>
            </w:r>
          </w:p>
        </w:tc>
        <w:tc>
          <w:tcPr>
            <w:tcW w:w="1276" w:type="dxa"/>
            <w:tcBorders>
              <w:left w:val="single" w:sz="4" w:space="0" w:color="DA002F"/>
              <w:right w:val="single" w:sz="4" w:space="0" w:color="DA002F"/>
            </w:tcBorders>
          </w:tcPr>
          <w:p w14:paraId="7AAC1557" w14:textId="77777777" w:rsidR="00C901B1" w:rsidRPr="004F39C3" w:rsidRDefault="00C901B1" w:rsidP="00EC542A">
            <w:pPr>
              <w:rPr>
                <w:sz w:val="18"/>
                <w:szCs w:val="18"/>
                <w:lang w:val="nl-BE"/>
              </w:rPr>
            </w:pPr>
            <w:r w:rsidRPr="004F39C3">
              <w:rPr>
                <w:sz w:val="18"/>
                <w:szCs w:val="18"/>
              </w:rPr>
              <w:t>20%</w:t>
            </w:r>
          </w:p>
        </w:tc>
        <w:tc>
          <w:tcPr>
            <w:tcW w:w="1134" w:type="dxa"/>
            <w:tcBorders>
              <w:left w:val="single" w:sz="4" w:space="0" w:color="DA002F"/>
            </w:tcBorders>
          </w:tcPr>
          <w:p w14:paraId="36BBA63D" w14:textId="77777777" w:rsidR="00C901B1" w:rsidRPr="004F39C3" w:rsidRDefault="00C901B1" w:rsidP="00EC542A">
            <w:pPr>
              <w:rPr>
                <w:sz w:val="18"/>
                <w:szCs w:val="18"/>
                <w:lang w:val="nl-BE"/>
              </w:rPr>
            </w:pPr>
            <w:r w:rsidRPr="004F39C3">
              <w:rPr>
                <w:sz w:val="18"/>
                <w:szCs w:val="18"/>
              </w:rPr>
              <w:t>17%</w:t>
            </w:r>
          </w:p>
        </w:tc>
        <w:tc>
          <w:tcPr>
            <w:tcW w:w="1513" w:type="dxa"/>
            <w:tcBorders>
              <w:left w:val="single" w:sz="4" w:space="0" w:color="DA002F"/>
            </w:tcBorders>
          </w:tcPr>
          <w:p w14:paraId="57E540E9" w14:textId="77777777" w:rsidR="00C901B1" w:rsidRPr="004F39C3" w:rsidRDefault="00C901B1" w:rsidP="00EC542A">
            <w:pPr>
              <w:rPr>
                <w:sz w:val="18"/>
                <w:szCs w:val="18"/>
                <w:lang w:val="nl-BE"/>
              </w:rPr>
            </w:pPr>
            <w:r w:rsidRPr="004F39C3">
              <w:rPr>
                <w:sz w:val="18"/>
                <w:szCs w:val="18"/>
              </w:rPr>
              <w:t>-14%</w:t>
            </w:r>
          </w:p>
        </w:tc>
      </w:tr>
      <w:tr w:rsidR="00C901B1" w:rsidRPr="004F39C3" w14:paraId="06FCC64B" w14:textId="77777777" w:rsidTr="00EC542A">
        <w:trPr>
          <w:trHeight w:val="340"/>
        </w:trPr>
        <w:tc>
          <w:tcPr>
            <w:tcW w:w="2268" w:type="dxa"/>
            <w:tcBorders>
              <w:right w:val="single" w:sz="4" w:space="0" w:color="DA002F"/>
            </w:tcBorders>
          </w:tcPr>
          <w:p w14:paraId="1544010F" w14:textId="61A09E81" w:rsidR="00C901B1" w:rsidRPr="004F39C3" w:rsidRDefault="00BF0A13" w:rsidP="00EC542A">
            <w:pPr>
              <w:jc w:val="left"/>
              <w:rPr>
                <w:sz w:val="18"/>
                <w:szCs w:val="18"/>
                <w:lang w:val="nl-BE"/>
              </w:rPr>
            </w:pPr>
            <w:proofErr w:type="spellStart"/>
            <w:r w:rsidRPr="004F39C3">
              <w:rPr>
                <w:sz w:val="18"/>
                <w:szCs w:val="18"/>
                <w:lang w:val="nl-BE"/>
              </w:rPr>
              <w:t>Antiagrégants</w:t>
            </w:r>
            <w:proofErr w:type="spellEnd"/>
          </w:p>
        </w:tc>
        <w:tc>
          <w:tcPr>
            <w:tcW w:w="1418" w:type="dxa"/>
            <w:tcBorders>
              <w:left w:val="single" w:sz="4" w:space="0" w:color="DA002F"/>
              <w:right w:val="single" w:sz="4" w:space="0" w:color="DA002F"/>
            </w:tcBorders>
          </w:tcPr>
          <w:p w14:paraId="6CE95997" w14:textId="77777777" w:rsidR="00C901B1" w:rsidRPr="004F39C3" w:rsidRDefault="00C901B1" w:rsidP="00EC542A">
            <w:pPr>
              <w:rPr>
                <w:sz w:val="18"/>
                <w:szCs w:val="18"/>
                <w:lang w:val="nl-BE"/>
              </w:rPr>
            </w:pPr>
            <w:r w:rsidRPr="004F39C3">
              <w:rPr>
                <w:sz w:val="18"/>
                <w:szCs w:val="18"/>
              </w:rPr>
              <w:t>2533</w:t>
            </w:r>
          </w:p>
        </w:tc>
        <w:tc>
          <w:tcPr>
            <w:tcW w:w="1417" w:type="dxa"/>
            <w:tcBorders>
              <w:left w:val="single" w:sz="4" w:space="0" w:color="DA002F"/>
              <w:right w:val="single" w:sz="4" w:space="0" w:color="DA002F"/>
            </w:tcBorders>
          </w:tcPr>
          <w:p w14:paraId="4F1ED816" w14:textId="77777777" w:rsidR="00C901B1" w:rsidRPr="004F39C3" w:rsidRDefault="00C901B1" w:rsidP="00EC542A">
            <w:pPr>
              <w:rPr>
                <w:sz w:val="18"/>
                <w:szCs w:val="18"/>
                <w:lang w:val="nl-BE"/>
              </w:rPr>
            </w:pPr>
            <w:r w:rsidRPr="004F39C3">
              <w:rPr>
                <w:sz w:val="18"/>
                <w:szCs w:val="18"/>
              </w:rPr>
              <w:t>2267</w:t>
            </w:r>
          </w:p>
        </w:tc>
        <w:tc>
          <w:tcPr>
            <w:tcW w:w="1276" w:type="dxa"/>
            <w:tcBorders>
              <w:left w:val="single" w:sz="4" w:space="0" w:color="DA002F"/>
              <w:right w:val="single" w:sz="4" w:space="0" w:color="DA002F"/>
            </w:tcBorders>
          </w:tcPr>
          <w:p w14:paraId="6D54A2ED" w14:textId="77777777" w:rsidR="00C901B1" w:rsidRPr="004F39C3" w:rsidRDefault="00C901B1" w:rsidP="00EC542A">
            <w:pPr>
              <w:rPr>
                <w:sz w:val="18"/>
                <w:szCs w:val="18"/>
                <w:lang w:val="nl-BE"/>
              </w:rPr>
            </w:pPr>
            <w:r w:rsidRPr="004F39C3">
              <w:rPr>
                <w:sz w:val="18"/>
                <w:szCs w:val="18"/>
              </w:rPr>
              <w:t>68%</w:t>
            </w:r>
          </w:p>
        </w:tc>
        <w:tc>
          <w:tcPr>
            <w:tcW w:w="1134" w:type="dxa"/>
            <w:tcBorders>
              <w:left w:val="single" w:sz="4" w:space="0" w:color="DA002F"/>
            </w:tcBorders>
          </w:tcPr>
          <w:p w14:paraId="62FB3D41" w14:textId="77777777" w:rsidR="00C901B1" w:rsidRPr="004F39C3" w:rsidRDefault="00C901B1" w:rsidP="00EC542A">
            <w:pPr>
              <w:rPr>
                <w:sz w:val="18"/>
                <w:szCs w:val="18"/>
                <w:lang w:val="nl-BE"/>
              </w:rPr>
            </w:pPr>
            <w:r w:rsidRPr="004F39C3">
              <w:rPr>
                <w:sz w:val="18"/>
                <w:szCs w:val="18"/>
              </w:rPr>
              <w:t>61%</w:t>
            </w:r>
          </w:p>
        </w:tc>
        <w:tc>
          <w:tcPr>
            <w:tcW w:w="1513" w:type="dxa"/>
            <w:tcBorders>
              <w:left w:val="single" w:sz="4" w:space="0" w:color="DA002F"/>
            </w:tcBorders>
          </w:tcPr>
          <w:p w14:paraId="5B69DAD3" w14:textId="77777777" w:rsidR="00C901B1" w:rsidRPr="004F39C3" w:rsidRDefault="00C901B1" w:rsidP="00EC542A">
            <w:pPr>
              <w:rPr>
                <w:sz w:val="18"/>
                <w:szCs w:val="18"/>
                <w:lang w:val="nl-BE"/>
              </w:rPr>
            </w:pPr>
            <w:r w:rsidRPr="004F39C3">
              <w:rPr>
                <w:sz w:val="18"/>
                <w:szCs w:val="18"/>
              </w:rPr>
              <w:t>-11%</w:t>
            </w:r>
          </w:p>
        </w:tc>
      </w:tr>
      <w:tr w:rsidR="00C901B1" w:rsidRPr="004F39C3" w14:paraId="1A018616" w14:textId="77777777" w:rsidTr="00EC542A">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2A4FE578" w14:textId="26870BD5" w:rsidR="00C901B1" w:rsidRPr="004F39C3" w:rsidRDefault="00BF0A13" w:rsidP="00EC542A">
            <w:pPr>
              <w:jc w:val="left"/>
              <w:rPr>
                <w:sz w:val="18"/>
                <w:szCs w:val="18"/>
                <w:lang w:val="nl-BE"/>
              </w:rPr>
            </w:pPr>
            <w:proofErr w:type="spellStart"/>
            <w:r w:rsidRPr="004F39C3">
              <w:rPr>
                <w:sz w:val="18"/>
                <w:szCs w:val="18"/>
                <w:lang w:val="nl-BE"/>
              </w:rPr>
              <w:t>Antidouleurs</w:t>
            </w:r>
            <w:proofErr w:type="spellEnd"/>
          </w:p>
        </w:tc>
        <w:tc>
          <w:tcPr>
            <w:tcW w:w="1418" w:type="dxa"/>
            <w:tcBorders>
              <w:left w:val="single" w:sz="4" w:space="0" w:color="DA002F"/>
              <w:right w:val="single" w:sz="4" w:space="0" w:color="DA002F"/>
            </w:tcBorders>
          </w:tcPr>
          <w:p w14:paraId="5622E53D" w14:textId="77777777" w:rsidR="00C901B1" w:rsidRPr="004F39C3" w:rsidRDefault="00C901B1" w:rsidP="00EC542A">
            <w:pPr>
              <w:rPr>
                <w:sz w:val="18"/>
                <w:szCs w:val="18"/>
                <w:lang w:val="nl-BE"/>
              </w:rPr>
            </w:pPr>
            <w:r w:rsidRPr="004F39C3">
              <w:rPr>
                <w:sz w:val="18"/>
                <w:szCs w:val="18"/>
              </w:rPr>
              <w:t>522</w:t>
            </w:r>
          </w:p>
        </w:tc>
        <w:tc>
          <w:tcPr>
            <w:tcW w:w="1417" w:type="dxa"/>
            <w:tcBorders>
              <w:left w:val="single" w:sz="4" w:space="0" w:color="DA002F"/>
              <w:right w:val="single" w:sz="4" w:space="0" w:color="DA002F"/>
            </w:tcBorders>
          </w:tcPr>
          <w:p w14:paraId="13C13B4A" w14:textId="77777777" w:rsidR="00C901B1" w:rsidRPr="004F39C3" w:rsidRDefault="00C901B1" w:rsidP="00EC542A">
            <w:pPr>
              <w:rPr>
                <w:sz w:val="18"/>
                <w:szCs w:val="18"/>
                <w:lang w:val="nl-BE"/>
              </w:rPr>
            </w:pPr>
            <w:r w:rsidRPr="004F39C3">
              <w:rPr>
                <w:sz w:val="18"/>
                <w:szCs w:val="18"/>
              </w:rPr>
              <w:t>508</w:t>
            </w:r>
          </w:p>
        </w:tc>
        <w:tc>
          <w:tcPr>
            <w:tcW w:w="1276" w:type="dxa"/>
            <w:tcBorders>
              <w:left w:val="single" w:sz="4" w:space="0" w:color="DA002F"/>
              <w:right w:val="single" w:sz="4" w:space="0" w:color="DA002F"/>
            </w:tcBorders>
          </w:tcPr>
          <w:p w14:paraId="770C4F76" w14:textId="77777777" w:rsidR="00C901B1" w:rsidRPr="004F39C3" w:rsidRDefault="00C901B1" w:rsidP="00EC542A">
            <w:pPr>
              <w:rPr>
                <w:sz w:val="18"/>
                <w:szCs w:val="18"/>
                <w:lang w:val="nl-BE"/>
              </w:rPr>
            </w:pPr>
            <w:r w:rsidRPr="004F39C3">
              <w:rPr>
                <w:sz w:val="18"/>
                <w:szCs w:val="18"/>
              </w:rPr>
              <w:t>14%</w:t>
            </w:r>
          </w:p>
        </w:tc>
        <w:tc>
          <w:tcPr>
            <w:tcW w:w="1134" w:type="dxa"/>
            <w:tcBorders>
              <w:left w:val="single" w:sz="4" w:space="0" w:color="DA002F"/>
            </w:tcBorders>
          </w:tcPr>
          <w:p w14:paraId="2E5149F2" w14:textId="77777777" w:rsidR="00C901B1" w:rsidRPr="004F39C3" w:rsidRDefault="00C901B1" w:rsidP="00EC542A">
            <w:pPr>
              <w:rPr>
                <w:sz w:val="18"/>
                <w:szCs w:val="18"/>
                <w:lang w:val="nl-BE"/>
              </w:rPr>
            </w:pPr>
            <w:r w:rsidRPr="004F39C3">
              <w:rPr>
                <w:sz w:val="18"/>
                <w:szCs w:val="18"/>
              </w:rPr>
              <w:t>14%</w:t>
            </w:r>
          </w:p>
        </w:tc>
        <w:tc>
          <w:tcPr>
            <w:tcW w:w="1513" w:type="dxa"/>
            <w:tcBorders>
              <w:left w:val="single" w:sz="4" w:space="0" w:color="DA002F"/>
            </w:tcBorders>
          </w:tcPr>
          <w:p w14:paraId="7F8E87ED" w14:textId="77777777" w:rsidR="00C901B1" w:rsidRPr="004F39C3" w:rsidRDefault="00C901B1" w:rsidP="00EC542A">
            <w:pPr>
              <w:rPr>
                <w:sz w:val="18"/>
                <w:szCs w:val="18"/>
                <w:lang w:val="nl-BE"/>
              </w:rPr>
            </w:pPr>
            <w:r w:rsidRPr="004F39C3">
              <w:rPr>
                <w:sz w:val="18"/>
                <w:szCs w:val="18"/>
              </w:rPr>
              <w:t>-3%</w:t>
            </w:r>
          </w:p>
        </w:tc>
      </w:tr>
      <w:tr w:rsidR="00C901B1" w:rsidRPr="004F39C3" w14:paraId="62419C2E" w14:textId="77777777" w:rsidTr="00EC542A">
        <w:trPr>
          <w:trHeight w:val="340"/>
        </w:trPr>
        <w:tc>
          <w:tcPr>
            <w:tcW w:w="2268" w:type="dxa"/>
            <w:tcBorders>
              <w:right w:val="single" w:sz="4" w:space="0" w:color="DA002F"/>
            </w:tcBorders>
          </w:tcPr>
          <w:p w14:paraId="4781BE8D" w14:textId="0ED8F6C3" w:rsidR="00C901B1" w:rsidRPr="004F39C3" w:rsidRDefault="00BF0A13" w:rsidP="00EC542A">
            <w:pPr>
              <w:jc w:val="left"/>
              <w:rPr>
                <w:sz w:val="18"/>
                <w:szCs w:val="18"/>
              </w:rPr>
            </w:pPr>
            <w:r w:rsidRPr="004F39C3">
              <w:rPr>
                <w:sz w:val="18"/>
                <w:szCs w:val="18"/>
              </w:rPr>
              <w:t>Antihypertenseurs</w:t>
            </w:r>
          </w:p>
        </w:tc>
        <w:tc>
          <w:tcPr>
            <w:tcW w:w="1418" w:type="dxa"/>
            <w:tcBorders>
              <w:left w:val="single" w:sz="4" w:space="0" w:color="DA002F"/>
              <w:right w:val="single" w:sz="4" w:space="0" w:color="DA002F"/>
            </w:tcBorders>
          </w:tcPr>
          <w:p w14:paraId="577808C7" w14:textId="77777777" w:rsidR="00C901B1" w:rsidRPr="004F39C3" w:rsidRDefault="00C901B1" w:rsidP="00EC542A">
            <w:pPr>
              <w:rPr>
                <w:sz w:val="18"/>
                <w:szCs w:val="18"/>
                <w:lang w:val="nl-BE"/>
              </w:rPr>
            </w:pPr>
            <w:r w:rsidRPr="004F39C3">
              <w:rPr>
                <w:sz w:val="18"/>
                <w:szCs w:val="18"/>
              </w:rPr>
              <w:t>2899</w:t>
            </w:r>
          </w:p>
        </w:tc>
        <w:tc>
          <w:tcPr>
            <w:tcW w:w="1417" w:type="dxa"/>
            <w:tcBorders>
              <w:left w:val="single" w:sz="4" w:space="0" w:color="DA002F"/>
              <w:right w:val="single" w:sz="4" w:space="0" w:color="DA002F"/>
            </w:tcBorders>
          </w:tcPr>
          <w:p w14:paraId="32F5A72A" w14:textId="77777777" w:rsidR="00C901B1" w:rsidRPr="004F39C3" w:rsidRDefault="00C901B1" w:rsidP="00EC542A">
            <w:pPr>
              <w:rPr>
                <w:sz w:val="18"/>
                <w:szCs w:val="18"/>
                <w:lang w:val="nl-BE"/>
              </w:rPr>
            </w:pPr>
            <w:r w:rsidRPr="004F39C3">
              <w:rPr>
                <w:sz w:val="18"/>
                <w:szCs w:val="18"/>
              </w:rPr>
              <w:t>2833</w:t>
            </w:r>
          </w:p>
        </w:tc>
        <w:tc>
          <w:tcPr>
            <w:tcW w:w="1276" w:type="dxa"/>
            <w:tcBorders>
              <w:left w:val="single" w:sz="4" w:space="0" w:color="DA002F"/>
              <w:right w:val="single" w:sz="4" w:space="0" w:color="DA002F"/>
            </w:tcBorders>
          </w:tcPr>
          <w:p w14:paraId="151ACD2D" w14:textId="77777777" w:rsidR="00C901B1" w:rsidRPr="004F39C3" w:rsidRDefault="00C901B1" w:rsidP="00EC542A">
            <w:pPr>
              <w:rPr>
                <w:sz w:val="18"/>
                <w:szCs w:val="18"/>
                <w:lang w:val="nl-BE"/>
              </w:rPr>
            </w:pPr>
            <w:r w:rsidRPr="004F39C3">
              <w:rPr>
                <w:sz w:val="18"/>
                <w:szCs w:val="18"/>
              </w:rPr>
              <w:t>77%</w:t>
            </w:r>
          </w:p>
        </w:tc>
        <w:tc>
          <w:tcPr>
            <w:tcW w:w="1134" w:type="dxa"/>
            <w:tcBorders>
              <w:left w:val="single" w:sz="4" w:space="0" w:color="DA002F"/>
            </w:tcBorders>
          </w:tcPr>
          <w:p w14:paraId="403E05CC" w14:textId="77777777" w:rsidR="00C901B1" w:rsidRPr="004F39C3" w:rsidRDefault="00C901B1" w:rsidP="00EC542A">
            <w:pPr>
              <w:rPr>
                <w:sz w:val="18"/>
                <w:szCs w:val="18"/>
                <w:lang w:val="nl-BE"/>
              </w:rPr>
            </w:pPr>
            <w:r w:rsidRPr="004F39C3">
              <w:rPr>
                <w:sz w:val="18"/>
                <w:szCs w:val="18"/>
              </w:rPr>
              <w:t>76%</w:t>
            </w:r>
          </w:p>
        </w:tc>
        <w:tc>
          <w:tcPr>
            <w:tcW w:w="1513" w:type="dxa"/>
            <w:tcBorders>
              <w:left w:val="single" w:sz="4" w:space="0" w:color="DA002F"/>
            </w:tcBorders>
          </w:tcPr>
          <w:p w14:paraId="267143C5" w14:textId="77777777" w:rsidR="00C901B1" w:rsidRPr="004F39C3" w:rsidRDefault="00C901B1" w:rsidP="00EC542A">
            <w:pPr>
              <w:rPr>
                <w:sz w:val="18"/>
                <w:szCs w:val="18"/>
                <w:lang w:val="nl-BE"/>
              </w:rPr>
            </w:pPr>
            <w:r w:rsidRPr="004F39C3">
              <w:rPr>
                <w:sz w:val="18"/>
                <w:szCs w:val="18"/>
              </w:rPr>
              <w:t>-2%</w:t>
            </w:r>
          </w:p>
        </w:tc>
      </w:tr>
      <w:tr w:rsidR="00C901B1" w:rsidRPr="004F39C3" w14:paraId="6D2FD0EC" w14:textId="77777777" w:rsidTr="00EC542A">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0A1172B9" w14:textId="77777777" w:rsidR="00C901B1" w:rsidRPr="004F39C3" w:rsidRDefault="00C901B1" w:rsidP="00EC542A">
            <w:pPr>
              <w:jc w:val="left"/>
              <w:rPr>
                <w:sz w:val="18"/>
                <w:szCs w:val="18"/>
              </w:rPr>
            </w:pPr>
            <w:r w:rsidRPr="004F39C3">
              <w:rPr>
                <w:sz w:val="18"/>
                <w:szCs w:val="18"/>
              </w:rPr>
              <w:t>Inhibiteurs de la pompe à protons</w:t>
            </w:r>
          </w:p>
        </w:tc>
        <w:tc>
          <w:tcPr>
            <w:tcW w:w="1418" w:type="dxa"/>
            <w:tcBorders>
              <w:left w:val="single" w:sz="4" w:space="0" w:color="DA002F"/>
              <w:right w:val="single" w:sz="4" w:space="0" w:color="DA002F"/>
            </w:tcBorders>
          </w:tcPr>
          <w:p w14:paraId="5A6AC6CC" w14:textId="77777777" w:rsidR="00C901B1" w:rsidRPr="004F39C3" w:rsidRDefault="00C901B1" w:rsidP="00EC542A">
            <w:pPr>
              <w:rPr>
                <w:sz w:val="18"/>
                <w:szCs w:val="18"/>
                <w:lang w:val="nl-BE"/>
              </w:rPr>
            </w:pPr>
            <w:r w:rsidRPr="004F39C3">
              <w:rPr>
                <w:sz w:val="18"/>
                <w:szCs w:val="18"/>
              </w:rPr>
              <w:t>1764</w:t>
            </w:r>
          </w:p>
        </w:tc>
        <w:tc>
          <w:tcPr>
            <w:tcW w:w="1417" w:type="dxa"/>
            <w:tcBorders>
              <w:left w:val="single" w:sz="4" w:space="0" w:color="DA002F"/>
              <w:right w:val="single" w:sz="4" w:space="0" w:color="DA002F"/>
            </w:tcBorders>
          </w:tcPr>
          <w:p w14:paraId="4D5964AA" w14:textId="77777777" w:rsidR="00C901B1" w:rsidRPr="004F39C3" w:rsidRDefault="00C901B1" w:rsidP="00EC542A">
            <w:pPr>
              <w:rPr>
                <w:sz w:val="18"/>
                <w:szCs w:val="18"/>
                <w:lang w:val="nl-BE"/>
              </w:rPr>
            </w:pPr>
            <w:r w:rsidRPr="004F39C3">
              <w:rPr>
                <w:sz w:val="18"/>
                <w:szCs w:val="18"/>
              </w:rPr>
              <w:t>1905</w:t>
            </w:r>
          </w:p>
        </w:tc>
        <w:tc>
          <w:tcPr>
            <w:tcW w:w="1276" w:type="dxa"/>
            <w:tcBorders>
              <w:left w:val="single" w:sz="4" w:space="0" w:color="DA002F"/>
              <w:right w:val="single" w:sz="4" w:space="0" w:color="DA002F"/>
            </w:tcBorders>
          </w:tcPr>
          <w:p w14:paraId="79779E74" w14:textId="77777777" w:rsidR="00C901B1" w:rsidRPr="004F39C3" w:rsidRDefault="00C901B1" w:rsidP="00EC542A">
            <w:pPr>
              <w:rPr>
                <w:sz w:val="18"/>
                <w:szCs w:val="18"/>
                <w:lang w:val="nl-BE"/>
              </w:rPr>
            </w:pPr>
            <w:r w:rsidRPr="004F39C3">
              <w:rPr>
                <w:sz w:val="18"/>
                <w:szCs w:val="18"/>
              </w:rPr>
              <w:t>47%</w:t>
            </w:r>
          </w:p>
        </w:tc>
        <w:tc>
          <w:tcPr>
            <w:tcW w:w="1134" w:type="dxa"/>
            <w:tcBorders>
              <w:left w:val="single" w:sz="4" w:space="0" w:color="DA002F"/>
            </w:tcBorders>
          </w:tcPr>
          <w:p w14:paraId="7D06BA07" w14:textId="77777777" w:rsidR="00C901B1" w:rsidRPr="004F39C3" w:rsidRDefault="00C901B1" w:rsidP="00EC542A">
            <w:pPr>
              <w:rPr>
                <w:sz w:val="18"/>
                <w:szCs w:val="18"/>
                <w:lang w:val="nl-BE"/>
              </w:rPr>
            </w:pPr>
            <w:r w:rsidRPr="004F39C3">
              <w:rPr>
                <w:sz w:val="18"/>
                <w:szCs w:val="18"/>
              </w:rPr>
              <w:t>51%</w:t>
            </w:r>
          </w:p>
        </w:tc>
        <w:tc>
          <w:tcPr>
            <w:tcW w:w="1513" w:type="dxa"/>
            <w:tcBorders>
              <w:left w:val="single" w:sz="4" w:space="0" w:color="DA002F"/>
            </w:tcBorders>
          </w:tcPr>
          <w:p w14:paraId="061BA258" w14:textId="77777777" w:rsidR="00C901B1" w:rsidRPr="004F39C3" w:rsidRDefault="00C901B1" w:rsidP="00EC542A">
            <w:pPr>
              <w:rPr>
                <w:sz w:val="18"/>
                <w:szCs w:val="18"/>
                <w:lang w:val="nl-BE"/>
              </w:rPr>
            </w:pPr>
            <w:r w:rsidRPr="004F39C3">
              <w:rPr>
                <w:sz w:val="18"/>
                <w:szCs w:val="18"/>
              </w:rPr>
              <w:t>8%</w:t>
            </w:r>
          </w:p>
        </w:tc>
      </w:tr>
      <w:tr w:rsidR="00C901B1" w:rsidRPr="004F39C3" w14:paraId="52090B94" w14:textId="77777777" w:rsidTr="00EC542A">
        <w:trPr>
          <w:trHeight w:val="340"/>
        </w:trPr>
        <w:tc>
          <w:tcPr>
            <w:tcW w:w="2268" w:type="dxa"/>
            <w:tcBorders>
              <w:right w:val="single" w:sz="4" w:space="0" w:color="DA002F"/>
            </w:tcBorders>
          </w:tcPr>
          <w:p w14:paraId="5E6EEE76" w14:textId="77777777" w:rsidR="00C901B1" w:rsidRPr="004F39C3" w:rsidRDefault="00C901B1" w:rsidP="00EC542A">
            <w:pPr>
              <w:jc w:val="left"/>
              <w:rPr>
                <w:sz w:val="18"/>
                <w:szCs w:val="18"/>
                <w:lang w:val="nl-BE"/>
              </w:rPr>
            </w:pPr>
            <w:proofErr w:type="spellStart"/>
            <w:r w:rsidRPr="004F39C3">
              <w:rPr>
                <w:sz w:val="18"/>
                <w:szCs w:val="18"/>
                <w:lang w:val="nl-BE"/>
              </w:rPr>
              <w:t>Antidépresseurs</w:t>
            </w:r>
            <w:proofErr w:type="spellEnd"/>
          </w:p>
        </w:tc>
        <w:tc>
          <w:tcPr>
            <w:tcW w:w="1418" w:type="dxa"/>
            <w:tcBorders>
              <w:left w:val="single" w:sz="4" w:space="0" w:color="DA002F"/>
              <w:right w:val="single" w:sz="4" w:space="0" w:color="DA002F"/>
            </w:tcBorders>
          </w:tcPr>
          <w:p w14:paraId="60BF011A" w14:textId="77777777" w:rsidR="00C901B1" w:rsidRPr="004F39C3" w:rsidRDefault="00C901B1" w:rsidP="00EC542A">
            <w:pPr>
              <w:rPr>
                <w:sz w:val="18"/>
                <w:szCs w:val="18"/>
                <w:lang w:val="nl-BE"/>
              </w:rPr>
            </w:pPr>
            <w:r w:rsidRPr="004F39C3">
              <w:rPr>
                <w:sz w:val="18"/>
                <w:szCs w:val="18"/>
              </w:rPr>
              <w:t>1328</w:t>
            </w:r>
          </w:p>
        </w:tc>
        <w:tc>
          <w:tcPr>
            <w:tcW w:w="1417" w:type="dxa"/>
            <w:tcBorders>
              <w:left w:val="single" w:sz="4" w:space="0" w:color="DA002F"/>
              <w:right w:val="single" w:sz="4" w:space="0" w:color="DA002F"/>
            </w:tcBorders>
          </w:tcPr>
          <w:p w14:paraId="1A9A334A" w14:textId="77777777" w:rsidR="00C901B1" w:rsidRPr="004F39C3" w:rsidRDefault="00C901B1" w:rsidP="00EC542A">
            <w:pPr>
              <w:rPr>
                <w:sz w:val="18"/>
                <w:szCs w:val="18"/>
                <w:lang w:val="nl-BE"/>
              </w:rPr>
            </w:pPr>
            <w:r w:rsidRPr="004F39C3">
              <w:rPr>
                <w:sz w:val="18"/>
                <w:szCs w:val="18"/>
              </w:rPr>
              <w:t>1437</w:t>
            </w:r>
          </w:p>
        </w:tc>
        <w:tc>
          <w:tcPr>
            <w:tcW w:w="1276" w:type="dxa"/>
            <w:tcBorders>
              <w:left w:val="single" w:sz="4" w:space="0" w:color="DA002F"/>
              <w:right w:val="single" w:sz="4" w:space="0" w:color="DA002F"/>
            </w:tcBorders>
          </w:tcPr>
          <w:p w14:paraId="28AE667D" w14:textId="77777777" w:rsidR="00C901B1" w:rsidRPr="004F39C3" w:rsidRDefault="00C901B1" w:rsidP="00EC542A">
            <w:pPr>
              <w:rPr>
                <w:sz w:val="18"/>
                <w:szCs w:val="18"/>
                <w:lang w:val="nl-BE"/>
              </w:rPr>
            </w:pPr>
            <w:r w:rsidRPr="004F39C3">
              <w:rPr>
                <w:sz w:val="18"/>
                <w:szCs w:val="18"/>
              </w:rPr>
              <w:t>35%</w:t>
            </w:r>
          </w:p>
        </w:tc>
        <w:tc>
          <w:tcPr>
            <w:tcW w:w="1134" w:type="dxa"/>
            <w:tcBorders>
              <w:left w:val="single" w:sz="4" w:space="0" w:color="DA002F"/>
            </w:tcBorders>
          </w:tcPr>
          <w:p w14:paraId="459EA3A0" w14:textId="77777777" w:rsidR="00C901B1" w:rsidRPr="004F39C3" w:rsidRDefault="00C901B1" w:rsidP="00EC542A">
            <w:pPr>
              <w:rPr>
                <w:sz w:val="18"/>
                <w:szCs w:val="18"/>
                <w:lang w:val="nl-BE"/>
              </w:rPr>
            </w:pPr>
            <w:r w:rsidRPr="004F39C3">
              <w:rPr>
                <w:sz w:val="18"/>
                <w:szCs w:val="18"/>
              </w:rPr>
              <w:t>38%</w:t>
            </w:r>
          </w:p>
        </w:tc>
        <w:tc>
          <w:tcPr>
            <w:tcW w:w="1513" w:type="dxa"/>
            <w:tcBorders>
              <w:left w:val="single" w:sz="4" w:space="0" w:color="DA002F"/>
            </w:tcBorders>
          </w:tcPr>
          <w:p w14:paraId="71F7FF46" w14:textId="77777777" w:rsidR="00C901B1" w:rsidRPr="004F39C3" w:rsidRDefault="00C901B1" w:rsidP="00EC542A">
            <w:pPr>
              <w:rPr>
                <w:sz w:val="18"/>
                <w:szCs w:val="18"/>
                <w:lang w:val="nl-BE"/>
              </w:rPr>
            </w:pPr>
            <w:r w:rsidRPr="004F39C3">
              <w:rPr>
                <w:sz w:val="18"/>
                <w:szCs w:val="18"/>
              </w:rPr>
              <w:t>8%</w:t>
            </w:r>
          </w:p>
        </w:tc>
      </w:tr>
      <w:tr w:rsidR="00C901B1" w:rsidRPr="004F39C3" w14:paraId="3E02D9D1" w14:textId="77777777" w:rsidTr="00EC542A">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400DFD04" w14:textId="77777777" w:rsidR="00C901B1" w:rsidRPr="004F39C3" w:rsidRDefault="00C901B1" w:rsidP="00EC542A">
            <w:pPr>
              <w:jc w:val="left"/>
              <w:rPr>
                <w:sz w:val="18"/>
                <w:szCs w:val="18"/>
                <w:lang w:val="nl-BE"/>
              </w:rPr>
            </w:pPr>
            <w:proofErr w:type="spellStart"/>
            <w:r w:rsidRPr="004F39C3">
              <w:rPr>
                <w:sz w:val="18"/>
                <w:szCs w:val="18"/>
                <w:lang w:val="nl-BE"/>
              </w:rPr>
              <w:t>Antipsychotiques</w:t>
            </w:r>
            <w:proofErr w:type="spellEnd"/>
          </w:p>
        </w:tc>
        <w:tc>
          <w:tcPr>
            <w:tcW w:w="1418" w:type="dxa"/>
            <w:tcBorders>
              <w:left w:val="single" w:sz="4" w:space="0" w:color="DA002F"/>
              <w:right w:val="single" w:sz="4" w:space="0" w:color="DA002F"/>
            </w:tcBorders>
          </w:tcPr>
          <w:p w14:paraId="73B04A88" w14:textId="77777777" w:rsidR="00C901B1" w:rsidRPr="004F39C3" w:rsidRDefault="00C901B1" w:rsidP="00EC542A">
            <w:pPr>
              <w:rPr>
                <w:sz w:val="18"/>
                <w:szCs w:val="18"/>
                <w:lang w:val="nl-BE"/>
              </w:rPr>
            </w:pPr>
            <w:r w:rsidRPr="004F39C3">
              <w:rPr>
                <w:sz w:val="18"/>
                <w:szCs w:val="18"/>
              </w:rPr>
              <w:t>375</w:t>
            </w:r>
          </w:p>
        </w:tc>
        <w:tc>
          <w:tcPr>
            <w:tcW w:w="1417" w:type="dxa"/>
            <w:tcBorders>
              <w:left w:val="single" w:sz="4" w:space="0" w:color="DA002F"/>
              <w:right w:val="single" w:sz="4" w:space="0" w:color="DA002F"/>
            </w:tcBorders>
          </w:tcPr>
          <w:p w14:paraId="4D283991" w14:textId="77777777" w:rsidR="00C901B1" w:rsidRPr="004F39C3" w:rsidRDefault="00C901B1" w:rsidP="00EC542A">
            <w:pPr>
              <w:rPr>
                <w:sz w:val="18"/>
                <w:szCs w:val="18"/>
                <w:lang w:val="nl-BE"/>
              </w:rPr>
            </w:pPr>
            <w:r w:rsidRPr="004F39C3">
              <w:rPr>
                <w:sz w:val="18"/>
                <w:szCs w:val="18"/>
              </w:rPr>
              <w:t>427</w:t>
            </w:r>
          </w:p>
        </w:tc>
        <w:tc>
          <w:tcPr>
            <w:tcW w:w="1276" w:type="dxa"/>
            <w:tcBorders>
              <w:left w:val="single" w:sz="4" w:space="0" w:color="DA002F"/>
              <w:right w:val="single" w:sz="4" w:space="0" w:color="DA002F"/>
            </w:tcBorders>
          </w:tcPr>
          <w:p w14:paraId="1B355AC0" w14:textId="77777777" w:rsidR="00C901B1" w:rsidRPr="004F39C3" w:rsidRDefault="00C901B1" w:rsidP="00EC542A">
            <w:pPr>
              <w:rPr>
                <w:sz w:val="18"/>
                <w:szCs w:val="18"/>
                <w:lang w:val="nl-BE"/>
              </w:rPr>
            </w:pPr>
            <w:r w:rsidRPr="004F39C3">
              <w:rPr>
                <w:sz w:val="18"/>
                <w:szCs w:val="18"/>
              </w:rPr>
              <w:t>10%</w:t>
            </w:r>
          </w:p>
        </w:tc>
        <w:tc>
          <w:tcPr>
            <w:tcW w:w="1134" w:type="dxa"/>
            <w:tcBorders>
              <w:left w:val="single" w:sz="4" w:space="0" w:color="DA002F"/>
            </w:tcBorders>
          </w:tcPr>
          <w:p w14:paraId="68E740E1" w14:textId="77777777" w:rsidR="00C901B1" w:rsidRPr="004F39C3" w:rsidRDefault="00C901B1" w:rsidP="00EC542A">
            <w:pPr>
              <w:rPr>
                <w:sz w:val="18"/>
                <w:szCs w:val="18"/>
                <w:lang w:val="nl-BE"/>
              </w:rPr>
            </w:pPr>
            <w:r w:rsidRPr="004F39C3">
              <w:rPr>
                <w:sz w:val="18"/>
                <w:szCs w:val="18"/>
              </w:rPr>
              <w:t>11%</w:t>
            </w:r>
          </w:p>
        </w:tc>
        <w:tc>
          <w:tcPr>
            <w:tcW w:w="1513" w:type="dxa"/>
            <w:tcBorders>
              <w:left w:val="single" w:sz="4" w:space="0" w:color="DA002F"/>
            </w:tcBorders>
          </w:tcPr>
          <w:p w14:paraId="0AB0DC5F" w14:textId="77777777" w:rsidR="00C901B1" w:rsidRPr="004F39C3" w:rsidRDefault="00C901B1" w:rsidP="00EC542A">
            <w:pPr>
              <w:rPr>
                <w:sz w:val="18"/>
                <w:szCs w:val="18"/>
                <w:lang w:val="nl-BE"/>
              </w:rPr>
            </w:pPr>
            <w:r w:rsidRPr="004F39C3">
              <w:rPr>
                <w:sz w:val="18"/>
                <w:szCs w:val="18"/>
              </w:rPr>
              <w:t>14%</w:t>
            </w:r>
          </w:p>
        </w:tc>
      </w:tr>
      <w:tr w:rsidR="00C901B1" w:rsidRPr="004F39C3" w14:paraId="54C8B564" w14:textId="77777777" w:rsidTr="00EC542A">
        <w:trPr>
          <w:cnfStyle w:val="010000000000" w:firstRow="0" w:lastRow="1" w:firstColumn="0" w:lastColumn="0" w:oddVBand="0" w:evenVBand="0" w:oddHBand="0" w:evenHBand="0" w:firstRowFirstColumn="0" w:firstRowLastColumn="0" w:lastRowFirstColumn="0" w:lastRowLastColumn="0"/>
        </w:trPr>
        <w:tc>
          <w:tcPr>
            <w:tcW w:w="2268" w:type="dxa"/>
          </w:tcPr>
          <w:p w14:paraId="0E6AEE56" w14:textId="77777777" w:rsidR="00C901B1" w:rsidRPr="004F39C3" w:rsidRDefault="00C901B1" w:rsidP="00EC542A">
            <w:pPr>
              <w:rPr>
                <w:sz w:val="18"/>
                <w:szCs w:val="18"/>
              </w:rPr>
            </w:pPr>
          </w:p>
        </w:tc>
        <w:tc>
          <w:tcPr>
            <w:tcW w:w="1418" w:type="dxa"/>
          </w:tcPr>
          <w:p w14:paraId="374610B1" w14:textId="77777777" w:rsidR="00C901B1" w:rsidRPr="004F39C3" w:rsidRDefault="00C901B1" w:rsidP="00EC542A">
            <w:pPr>
              <w:rPr>
                <w:sz w:val="18"/>
                <w:szCs w:val="18"/>
              </w:rPr>
            </w:pPr>
          </w:p>
        </w:tc>
        <w:tc>
          <w:tcPr>
            <w:tcW w:w="1417" w:type="dxa"/>
          </w:tcPr>
          <w:p w14:paraId="15FB19AA" w14:textId="77777777" w:rsidR="00C901B1" w:rsidRPr="004F39C3" w:rsidRDefault="00C901B1" w:rsidP="00EC542A">
            <w:pPr>
              <w:rPr>
                <w:sz w:val="18"/>
                <w:szCs w:val="18"/>
              </w:rPr>
            </w:pPr>
          </w:p>
        </w:tc>
        <w:tc>
          <w:tcPr>
            <w:tcW w:w="1276" w:type="dxa"/>
          </w:tcPr>
          <w:p w14:paraId="5D144D8C" w14:textId="77777777" w:rsidR="00C901B1" w:rsidRPr="004F39C3" w:rsidRDefault="00C901B1" w:rsidP="00EC542A">
            <w:pPr>
              <w:rPr>
                <w:sz w:val="18"/>
                <w:szCs w:val="18"/>
              </w:rPr>
            </w:pPr>
          </w:p>
        </w:tc>
        <w:tc>
          <w:tcPr>
            <w:tcW w:w="1134" w:type="dxa"/>
          </w:tcPr>
          <w:p w14:paraId="6EEFD5F0" w14:textId="77777777" w:rsidR="00C901B1" w:rsidRPr="004F39C3" w:rsidRDefault="00C901B1" w:rsidP="00EC542A">
            <w:pPr>
              <w:rPr>
                <w:sz w:val="18"/>
                <w:szCs w:val="18"/>
              </w:rPr>
            </w:pPr>
          </w:p>
        </w:tc>
        <w:tc>
          <w:tcPr>
            <w:tcW w:w="1513" w:type="dxa"/>
          </w:tcPr>
          <w:p w14:paraId="01EF4F7A" w14:textId="77777777" w:rsidR="00C901B1" w:rsidRPr="004F39C3" w:rsidRDefault="00C901B1" w:rsidP="00EC542A">
            <w:pPr>
              <w:rPr>
                <w:sz w:val="18"/>
                <w:szCs w:val="18"/>
              </w:rPr>
            </w:pPr>
          </w:p>
        </w:tc>
      </w:tr>
    </w:tbl>
    <w:p w14:paraId="32E38E67" w14:textId="77777777" w:rsidR="00C901B1" w:rsidRPr="00431DD6" w:rsidRDefault="00C901B1" w:rsidP="00431DD6">
      <w:pPr>
        <w:jc w:val="both"/>
        <w:rPr>
          <w:szCs w:val="20"/>
        </w:rPr>
      </w:pPr>
      <w:r w:rsidRPr="00431DD6">
        <w:rPr>
          <w:szCs w:val="20"/>
        </w:rPr>
        <w:t>Source : Solidaris</w:t>
      </w:r>
    </w:p>
    <w:p w14:paraId="1F8FC452" w14:textId="77777777" w:rsidR="00160947" w:rsidRPr="00431DD6" w:rsidRDefault="00160947" w:rsidP="00431DD6">
      <w:pPr>
        <w:spacing w:after="0"/>
        <w:jc w:val="both"/>
        <w:rPr>
          <w:szCs w:val="20"/>
          <w:lang w:val="fr-BE"/>
        </w:rPr>
      </w:pPr>
    </w:p>
    <w:p w14:paraId="4C6DE04C" w14:textId="3FAB7E6F" w:rsidR="00431DD6" w:rsidRPr="00431DD6" w:rsidRDefault="00431DD6" w:rsidP="00431DD6">
      <w:pPr>
        <w:spacing w:after="0"/>
        <w:jc w:val="both"/>
        <w:rPr>
          <w:rFonts w:cs="Arial"/>
          <w:szCs w:val="20"/>
          <w:lang w:val="fr-BE"/>
        </w:rPr>
      </w:pPr>
      <w:r w:rsidRPr="00431DD6">
        <w:rPr>
          <w:rFonts w:cs="Arial"/>
          <w:szCs w:val="20"/>
          <w:lang w:val="fr-BE"/>
        </w:rPr>
        <w:t xml:space="preserve">Le Tableau </w:t>
      </w:r>
      <w:r w:rsidR="00DB7180">
        <w:rPr>
          <w:rFonts w:cs="Arial"/>
          <w:szCs w:val="20"/>
          <w:lang w:val="fr-BE"/>
        </w:rPr>
        <w:t>8</w:t>
      </w:r>
      <w:r w:rsidRPr="00431DD6">
        <w:rPr>
          <w:rFonts w:cs="Arial"/>
          <w:szCs w:val="20"/>
          <w:lang w:val="fr-BE"/>
        </w:rPr>
        <w:t xml:space="preserve"> et la Figure </w:t>
      </w:r>
      <w:r w:rsidR="00DB7180">
        <w:rPr>
          <w:rFonts w:cs="Arial"/>
          <w:szCs w:val="20"/>
          <w:lang w:val="fr-BE"/>
        </w:rPr>
        <w:t>2</w:t>
      </w:r>
      <w:r w:rsidRPr="00431DD6">
        <w:rPr>
          <w:rFonts w:cs="Arial"/>
          <w:szCs w:val="20"/>
          <w:lang w:val="fr-BE"/>
        </w:rPr>
        <w:t xml:space="preserve"> montrent le pourcentage de la population sous traitement en fonction de la période à laquelle le traitement a été initié ou arrêté. En effet, un même pourcentage de population sous traitement avant et après l’entrée en maison de repos ne signifie pas pour autant qu’il s’agit des mêmes affiliés ayant gardé leur traitement après leur arrivée en maison de repos. </w:t>
      </w:r>
    </w:p>
    <w:p w14:paraId="2E42AE15" w14:textId="77777777" w:rsidR="00431DD6" w:rsidRPr="00431DD6" w:rsidRDefault="00431DD6" w:rsidP="00431DD6">
      <w:pPr>
        <w:spacing w:after="0"/>
        <w:jc w:val="both"/>
        <w:rPr>
          <w:rFonts w:cs="Arial"/>
          <w:szCs w:val="20"/>
          <w:lang w:val="fr-BE"/>
        </w:rPr>
      </w:pPr>
    </w:p>
    <w:p w14:paraId="4F1D39BD" w14:textId="77777777" w:rsidR="00431DD6" w:rsidRPr="00431DD6" w:rsidRDefault="00431DD6" w:rsidP="00431DD6">
      <w:pPr>
        <w:spacing w:after="0"/>
        <w:jc w:val="both"/>
        <w:rPr>
          <w:rFonts w:cs="Arial"/>
          <w:szCs w:val="20"/>
          <w:lang w:val="fr-BE"/>
        </w:rPr>
      </w:pPr>
      <w:r w:rsidRPr="00431DD6">
        <w:rPr>
          <w:rFonts w:cs="Arial"/>
          <w:szCs w:val="20"/>
          <w:lang w:val="fr-BE"/>
        </w:rPr>
        <w:t>Trois cas de figure peuvent se présenter :</w:t>
      </w:r>
    </w:p>
    <w:p w14:paraId="2F3CE6E5" w14:textId="77777777" w:rsidR="00431DD6" w:rsidRPr="00431DD6" w:rsidRDefault="00431DD6" w:rsidP="00EC542A">
      <w:pPr>
        <w:pStyle w:val="Paragraphedeliste"/>
        <w:numPr>
          <w:ilvl w:val="0"/>
          <w:numId w:val="33"/>
        </w:numPr>
        <w:spacing w:before="120" w:after="120" w:line="240" w:lineRule="auto"/>
        <w:contextualSpacing w:val="0"/>
        <w:jc w:val="both"/>
        <w:rPr>
          <w:rFonts w:cs="Arial"/>
          <w:szCs w:val="20"/>
          <w:lang w:val="fr-BE"/>
        </w:rPr>
      </w:pPr>
      <w:r w:rsidRPr="00431DD6">
        <w:rPr>
          <w:rFonts w:cs="Arial"/>
          <w:szCs w:val="20"/>
          <w:lang w:val="fr-BE"/>
        </w:rPr>
        <w:t xml:space="preserve">L’affilié a commencé son traitement avant l’entrée en maison de repos et le continue durant son séjour en maison de repos ; </w:t>
      </w:r>
    </w:p>
    <w:p w14:paraId="4E72B3DC" w14:textId="77777777" w:rsidR="00431DD6" w:rsidRPr="00431DD6" w:rsidRDefault="00431DD6" w:rsidP="00EC542A">
      <w:pPr>
        <w:pStyle w:val="Paragraphedeliste"/>
        <w:numPr>
          <w:ilvl w:val="0"/>
          <w:numId w:val="33"/>
        </w:numPr>
        <w:spacing w:before="120" w:after="120" w:line="240" w:lineRule="auto"/>
        <w:ind w:left="714" w:hanging="357"/>
        <w:contextualSpacing w:val="0"/>
        <w:jc w:val="both"/>
        <w:rPr>
          <w:rFonts w:cs="Arial"/>
          <w:szCs w:val="20"/>
          <w:lang w:val="fr-BE"/>
        </w:rPr>
      </w:pPr>
      <w:r w:rsidRPr="00431DD6">
        <w:rPr>
          <w:rFonts w:cs="Arial"/>
          <w:szCs w:val="20"/>
          <w:lang w:val="fr-BE"/>
        </w:rPr>
        <w:t>L’affilié a arrêté son traitement après l’entrée en maison de repos ;</w:t>
      </w:r>
    </w:p>
    <w:p w14:paraId="216AE281" w14:textId="77777777" w:rsidR="00431DD6" w:rsidRPr="00431DD6" w:rsidRDefault="00431DD6" w:rsidP="00EC542A">
      <w:pPr>
        <w:pStyle w:val="Paragraphedeliste"/>
        <w:numPr>
          <w:ilvl w:val="0"/>
          <w:numId w:val="33"/>
        </w:numPr>
        <w:spacing w:before="120" w:after="120" w:line="240" w:lineRule="auto"/>
        <w:ind w:left="714" w:hanging="357"/>
        <w:contextualSpacing w:val="0"/>
        <w:jc w:val="both"/>
        <w:rPr>
          <w:rFonts w:cs="Arial"/>
          <w:szCs w:val="20"/>
          <w:lang w:val="fr-BE"/>
        </w:rPr>
      </w:pPr>
      <w:r w:rsidRPr="00431DD6">
        <w:rPr>
          <w:rFonts w:cs="Arial"/>
          <w:szCs w:val="20"/>
          <w:lang w:val="fr-BE"/>
        </w:rPr>
        <w:t>L’affilié a initié son traitement après l’entrée en maison de repos.</w:t>
      </w:r>
    </w:p>
    <w:p w14:paraId="1C8031B4" w14:textId="77777777" w:rsidR="00431DD6" w:rsidRPr="00431DD6" w:rsidRDefault="00431DD6" w:rsidP="00431DD6">
      <w:pPr>
        <w:spacing w:after="0"/>
        <w:jc w:val="both"/>
        <w:rPr>
          <w:rFonts w:cs="Arial"/>
          <w:szCs w:val="20"/>
          <w:lang w:val="fr-BE"/>
        </w:rPr>
      </w:pPr>
    </w:p>
    <w:p w14:paraId="7CFF7AC3" w14:textId="38B9B062" w:rsidR="00431DD6" w:rsidRPr="00431DD6" w:rsidRDefault="00431DD6" w:rsidP="00431DD6">
      <w:pPr>
        <w:spacing w:after="0"/>
        <w:jc w:val="both"/>
        <w:rPr>
          <w:rFonts w:cs="Arial"/>
          <w:szCs w:val="20"/>
          <w:lang w:val="fr-BE"/>
        </w:rPr>
      </w:pPr>
      <w:r w:rsidRPr="00431DD6">
        <w:rPr>
          <w:rFonts w:cs="Arial"/>
          <w:szCs w:val="20"/>
          <w:lang w:val="fr-BE"/>
        </w:rPr>
        <w:t xml:space="preserve">Ainsi, suite à l’institutionnalisation, certains traitements sont initiés et d’autres arrêtés, ayant dès lors un impact sur les catégories de médicaments consommés. L’entrée en maison de repos peut alors se traduire par des modifications importantes </w:t>
      </w:r>
      <w:r w:rsidR="0023508C">
        <w:rPr>
          <w:rFonts w:cs="Arial"/>
          <w:szCs w:val="20"/>
          <w:lang w:val="fr-BE"/>
        </w:rPr>
        <w:t>en termes de consommation de médicaments</w:t>
      </w:r>
      <w:r w:rsidRPr="00431DD6">
        <w:rPr>
          <w:rFonts w:cs="Arial"/>
          <w:szCs w:val="20"/>
          <w:lang w:val="fr-BE"/>
        </w:rPr>
        <w:t xml:space="preserve">. </w:t>
      </w:r>
    </w:p>
    <w:p w14:paraId="701589C4" w14:textId="77777777" w:rsidR="00431DD6" w:rsidRPr="00431DD6" w:rsidRDefault="00431DD6" w:rsidP="00431DD6">
      <w:pPr>
        <w:spacing w:after="0"/>
        <w:jc w:val="both"/>
        <w:rPr>
          <w:rFonts w:cs="Arial"/>
          <w:szCs w:val="20"/>
          <w:lang w:val="fr-BE"/>
        </w:rPr>
      </w:pPr>
    </w:p>
    <w:p w14:paraId="05531905" w14:textId="38387988" w:rsidR="00431DD6" w:rsidRPr="00431DD6" w:rsidRDefault="00431DD6" w:rsidP="00431DD6">
      <w:pPr>
        <w:spacing w:after="0"/>
        <w:jc w:val="both"/>
        <w:rPr>
          <w:rFonts w:cs="Arial"/>
          <w:szCs w:val="20"/>
          <w:lang w:val="fr-BE"/>
        </w:rPr>
      </w:pPr>
      <w:r w:rsidRPr="00431DD6">
        <w:rPr>
          <w:rFonts w:cs="Arial"/>
          <w:szCs w:val="20"/>
          <w:lang w:val="fr-BE"/>
        </w:rPr>
        <w:t>C’est par exemple le cas pour les antidépresseurs et les antipsychotiques</w:t>
      </w:r>
      <w:r w:rsidR="0023508C">
        <w:rPr>
          <w:rFonts w:cs="Arial"/>
          <w:szCs w:val="20"/>
          <w:lang w:val="fr-BE"/>
        </w:rPr>
        <w:t xml:space="preserve"> </w:t>
      </w:r>
      <w:r w:rsidRPr="00431DD6">
        <w:rPr>
          <w:rFonts w:cs="Arial"/>
          <w:szCs w:val="20"/>
          <w:lang w:val="fr-BE"/>
        </w:rPr>
        <w:t xml:space="preserve">: la proportion d’affiliés traités par antidépresseurs passe de 35% à 38% et celles par antipsychotiques de 10% à 11% suite à l’entrée en maison de repos (Tableau </w:t>
      </w:r>
      <w:r w:rsidR="005921F1">
        <w:rPr>
          <w:rFonts w:cs="Arial"/>
          <w:szCs w:val="20"/>
          <w:lang w:val="fr-BE"/>
        </w:rPr>
        <w:t>7</w:t>
      </w:r>
      <w:r w:rsidRPr="00431DD6">
        <w:rPr>
          <w:rFonts w:cs="Arial"/>
          <w:szCs w:val="20"/>
          <w:lang w:val="fr-BE"/>
        </w:rPr>
        <w:t>). L’analyse montre également que parmi les 1.437 affiliés sous antidépresseurs en maison de repos, 339 affiliés ont initié leur traitement après leur entrée en maison de repos</w:t>
      </w:r>
      <w:r w:rsidR="005921F1">
        <w:rPr>
          <w:rFonts w:cs="Arial"/>
          <w:szCs w:val="20"/>
          <w:lang w:val="fr-BE"/>
        </w:rPr>
        <w:t xml:space="preserve"> (Tableaux 7 et 8)</w:t>
      </w:r>
      <w:r w:rsidRPr="00431DD6">
        <w:rPr>
          <w:rFonts w:cs="Arial"/>
          <w:szCs w:val="20"/>
          <w:lang w:val="fr-BE"/>
        </w:rPr>
        <w:t>. En d’autres mots, près d’un quart (2</w:t>
      </w:r>
      <w:r w:rsidR="005921F1">
        <w:rPr>
          <w:rFonts w:cs="Arial"/>
          <w:szCs w:val="20"/>
          <w:lang w:val="fr-BE"/>
        </w:rPr>
        <w:t>4</w:t>
      </w:r>
      <w:r w:rsidRPr="00431DD6">
        <w:rPr>
          <w:rFonts w:cs="Arial"/>
          <w:szCs w:val="20"/>
          <w:lang w:val="fr-BE"/>
        </w:rPr>
        <w:t>%) des affiliés sous antidépresseurs en maison de repos a débuté son traitement suite à l’entrée en maison de repos. Il en est de même en ce qui concerne les antipsychotiques : parmi les 427 affiliés sous traitement en maison de repos, 215 affiliés ont initié ce dernier après leur institutionnalisation, soit un affilié sur d</w:t>
      </w:r>
      <w:r w:rsidR="005921F1">
        <w:rPr>
          <w:rFonts w:cs="Arial"/>
          <w:szCs w:val="20"/>
          <w:lang w:val="fr-BE"/>
        </w:rPr>
        <w:t xml:space="preserve">eux </w:t>
      </w:r>
      <w:r w:rsidR="005921F1" w:rsidRPr="005921F1">
        <w:rPr>
          <w:lang w:val="fr-BE"/>
        </w:rPr>
        <w:t>(Tableaux 7 et 8).</w:t>
      </w:r>
    </w:p>
    <w:p w14:paraId="5FF38F2F" w14:textId="77777777" w:rsidR="00431DD6" w:rsidRPr="00431DD6" w:rsidRDefault="00431DD6" w:rsidP="00431DD6">
      <w:pPr>
        <w:spacing w:after="0"/>
        <w:jc w:val="both"/>
        <w:rPr>
          <w:rFonts w:cs="Arial"/>
          <w:szCs w:val="20"/>
          <w:lang w:val="fr-BE"/>
        </w:rPr>
      </w:pPr>
    </w:p>
    <w:p w14:paraId="1DC8EB06" w14:textId="3E894C93" w:rsidR="00431DD6" w:rsidRPr="00431DD6" w:rsidRDefault="00431DD6" w:rsidP="0052051F">
      <w:pPr>
        <w:spacing w:after="0"/>
        <w:jc w:val="both"/>
        <w:rPr>
          <w:rFonts w:cs="Arial"/>
          <w:szCs w:val="20"/>
          <w:lang w:val="fr-BE"/>
        </w:rPr>
      </w:pPr>
      <w:r w:rsidRPr="00431DD6">
        <w:rPr>
          <w:rFonts w:cs="Arial"/>
          <w:szCs w:val="20"/>
          <w:lang w:val="fr-BE"/>
        </w:rPr>
        <w:t>Inversement, la proportion d’affiliés sous antiagrégants et statines diminue après l’entrée en maison de repos. Ainsi, parmi les 2.53</w:t>
      </w:r>
      <w:r w:rsidR="005921F1">
        <w:rPr>
          <w:rFonts w:cs="Arial"/>
          <w:szCs w:val="20"/>
          <w:lang w:val="fr-BE"/>
        </w:rPr>
        <w:t>3</w:t>
      </w:r>
      <w:r w:rsidRPr="00431DD6">
        <w:rPr>
          <w:rFonts w:cs="Arial"/>
          <w:szCs w:val="20"/>
          <w:lang w:val="fr-BE"/>
        </w:rPr>
        <w:t xml:space="preserve"> affiliés sous traitement par antiagrégants avant l’entrée en maison de repos, 572 affiliés ont arrêté leur traitement suite à leur institutionnalisation (Tableau 8). De </w:t>
      </w:r>
      <w:r w:rsidRPr="00431DD6">
        <w:rPr>
          <w:rFonts w:cs="Arial"/>
          <w:szCs w:val="20"/>
          <w:lang w:val="fr-BE"/>
        </w:rPr>
        <w:lastRenderedPageBreak/>
        <w:t>même, parmi les 1.447 affiliés sous statines, 391 ont arrêté leur traitement après leur entrée en maison de repos. Autrement dit, 22% des affiliés qui étaient sous antiagrégants et 27% des affiliés qui étaient sous statines avant l’entrée en maison de repos arrêtent leur traitement après l’institutionnalisation.</w:t>
      </w:r>
    </w:p>
    <w:p w14:paraId="5461406E" w14:textId="02BEE879" w:rsidR="00160947" w:rsidRPr="00365CC3" w:rsidRDefault="00160947" w:rsidP="0052051F">
      <w:pPr>
        <w:spacing w:after="0" w:line="240" w:lineRule="auto"/>
        <w:jc w:val="both"/>
        <w:rPr>
          <w:lang w:val="fr-BE"/>
        </w:rPr>
      </w:pPr>
    </w:p>
    <w:p w14:paraId="15118617" w14:textId="31776243" w:rsidR="00EC542A" w:rsidRPr="007D60F6" w:rsidRDefault="00EC542A" w:rsidP="007D60F6">
      <w:pPr>
        <w:pStyle w:val="Tableau"/>
      </w:pPr>
      <w:bookmarkStart w:id="21" w:name="_Toc130195836"/>
      <w:r w:rsidRPr="007D60F6">
        <w:t>Tableau 8 : Nombre et p</w:t>
      </w:r>
      <w:r w:rsidR="00AE4C89" w:rsidRPr="007D60F6">
        <w:t>ourcentage</w:t>
      </w:r>
      <w:r w:rsidRPr="007D60F6">
        <w:t xml:space="preserve"> de  personnes sous traitement </w:t>
      </w:r>
      <w:r w:rsidR="00B808A1" w:rsidRPr="007D60F6">
        <w:t>avant et après l’entrée en maison de repos par type de médicament, 2020-2021</w:t>
      </w:r>
      <w:bookmarkEnd w:id="21"/>
      <w:r w:rsidRPr="007D60F6">
        <w:t xml:space="preserve"> </w:t>
      </w:r>
    </w:p>
    <w:tbl>
      <w:tblPr>
        <w:tblStyle w:val="Solidaris"/>
        <w:tblW w:w="0" w:type="auto"/>
        <w:tblBorders>
          <w:insideV w:val="none" w:sz="0" w:space="0" w:color="auto"/>
        </w:tblBorders>
        <w:tblLayout w:type="fixed"/>
        <w:tblLook w:val="04E0" w:firstRow="1" w:lastRow="1" w:firstColumn="1" w:lastColumn="0" w:noHBand="0" w:noVBand="1"/>
      </w:tblPr>
      <w:tblGrid>
        <w:gridCol w:w="2268"/>
        <w:gridCol w:w="1418"/>
        <w:gridCol w:w="1417"/>
        <w:gridCol w:w="1276"/>
        <w:gridCol w:w="1276"/>
        <w:gridCol w:w="1371"/>
      </w:tblGrid>
      <w:tr w:rsidR="00EC542A" w:rsidRPr="002149EF" w14:paraId="7CD45BD8" w14:textId="77777777" w:rsidTr="00EC542A">
        <w:trPr>
          <w:cnfStyle w:val="100000000000" w:firstRow="1" w:lastRow="0" w:firstColumn="0" w:lastColumn="0" w:oddVBand="0" w:evenVBand="0" w:oddHBand="0" w:evenHBand="0" w:firstRowFirstColumn="0" w:firstRowLastColumn="0" w:lastRowFirstColumn="0" w:lastRowLastColumn="0"/>
          <w:trHeight w:val="239"/>
        </w:trPr>
        <w:tc>
          <w:tcPr>
            <w:tcW w:w="2268" w:type="dxa"/>
            <w:vMerge w:val="restart"/>
          </w:tcPr>
          <w:p w14:paraId="5C51DB9F" w14:textId="77777777" w:rsidR="00EC542A" w:rsidRPr="00AE4C89" w:rsidRDefault="00EC542A" w:rsidP="00EC542A">
            <w:pPr>
              <w:jc w:val="left"/>
              <w:rPr>
                <w:sz w:val="18"/>
                <w:szCs w:val="18"/>
                <w:lang w:val="nl-BE"/>
              </w:rPr>
            </w:pPr>
            <w:r w:rsidRPr="00AE4C89">
              <w:rPr>
                <w:rFonts w:eastAsia="Times New Roman"/>
                <w:color w:val="FFFFFF" w:themeColor="background1"/>
                <w:sz w:val="18"/>
                <w:szCs w:val="18"/>
                <w:lang w:val="nl-BE" w:eastAsia="en-US"/>
              </w:rPr>
              <w:t>Type de médicament</w:t>
            </w:r>
          </w:p>
        </w:tc>
        <w:tc>
          <w:tcPr>
            <w:tcW w:w="2835" w:type="dxa"/>
            <w:gridSpan w:val="2"/>
          </w:tcPr>
          <w:p w14:paraId="4B63569A" w14:textId="77777777" w:rsidR="00EC542A" w:rsidRPr="00AE4C89" w:rsidRDefault="00EC542A" w:rsidP="00EC542A">
            <w:pPr>
              <w:rPr>
                <w:b w:val="0"/>
                <w:bCs w:val="0"/>
                <w:sz w:val="18"/>
                <w:szCs w:val="18"/>
              </w:rPr>
            </w:pPr>
            <w:r w:rsidRPr="00AE4C89">
              <w:rPr>
                <w:rFonts w:eastAsia="Times New Roman"/>
                <w:color w:val="FFFFFF" w:themeColor="background1"/>
                <w:sz w:val="18"/>
                <w:szCs w:val="18"/>
                <w:lang w:eastAsia="en-US"/>
              </w:rPr>
              <w:t>Nombre de personnes ayant un traitement</w:t>
            </w:r>
          </w:p>
        </w:tc>
        <w:tc>
          <w:tcPr>
            <w:tcW w:w="3923" w:type="dxa"/>
            <w:gridSpan w:val="3"/>
          </w:tcPr>
          <w:p w14:paraId="3CFE24BE" w14:textId="5FB353FF" w:rsidR="00EC542A" w:rsidRPr="00AE4C89" w:rsidRDefault="00EC542A" w:rsidP="00DA6CBD">
            <w:pPr>
              <w:rPr>
                <w:sz w:val="18"/>
                <w:szCs w:val="18"/>
              </w:rPr>
            </w:pPr>
            <w:r w:rsidRPr="00AE4C89">
              <w:rPr>
                <w:rFonts w:eastAsia="Times New Roman"/>
                <w:color w:val="FFFFFF" w:themeColor="background1"/>
                <w:sz w:val="18"/>
                <w:szCs w:val="18"/>
                <w:lang w:eastAsia="en-US"/>
              </w:rPr>
              <w:t>Lors de l'</w:t>
            </w:r>
            <w:r w:rsidR="00DA6CBD" w:rsidRPr="00AE4C89">
              <w:rPr>
                <w:rFonts w:eastAsia="Times New Roman"/>
                <w:color w:val="FFFFFF" w:themeColor="background1"/>
                <w:sz w:val="18"/>
                <w:szCs w:val="18"/>
                <w:lang w:eastAsia="en-US"/>
              </w:rPr>
              <w:t>entrée en maison de repos</w:t>
            </w:r>
          </w:p>
        </w:tc>
      </w:tr>
      <w:tr w:rsidR="00EC542A" w:rsidRPr="002149EF" w14:paraId="78FA9C98" w14:textId="77777777" w:rsidTr="00AE4C89">
        <w:trPr>
          <w:cnfStyle w:val="000000100000" w:firstRow="0" w:lastRow="0" w:firstColumn="0" w:lastColumn="0" w:oddVBand="0" w:evenVBand="0" w:oddHBand="1" w:evenHBand="0" w:firstRowFirstColumn="0" w:firstRowLastColumn="0" w:lastRowFirstColumn="0" w:lastRowLastColumn="0"/>
          <w:trHeight w:val="643"/>
        </w:trPr>
        <w:tc>
          <w:tcPr>
            <w:tcW w:w="2268" w:type="dxa"/>
            <w:vMerge/>
            <w:tcBorders>
              <w:right w:val="single" w:sz="4" w:space="0" w:color="FFFFFF" w:themeColor="background1"/>
            </w:tcBorders>
            <w:shd w:val="solid" w:color="D90030" w:fill="FFFFFF"/>
          </w:tcPr>
          <w:p w14:paraId="79D470F7" w14:textId="77777777" w:rsidR="00EC542A" w:rsidRPr="00AE4C89" w:rsidRDefault="00EC542A" w:rsidP="00EC542A">
            <w:pPr>
              <w:rPr>
                <w:rFonts w:eastAsia="Times New Roman"/>
                <w:color w:val="FFFFFF" w:themeColor="background1"/>
                <w:sz w:val="18"/>
                <w:szCs w:val="18"/>
              </w:rPr>
            </w:pPr>
          </w:p>
        </w:tc>
        <w:tc>
          <w:tcPr>
            <w:tcW w:w="1418" w:type="dxa"/>
            <w:tcBorders>
              <w:left w:val="single" w:sz="4" w:space="0" w:color="FFFFFF" w:themeColor="background1"/>
            </w:tcBorders>
            <w:shd w:val="solid" w:color="D90030" w:fill="FFFFFF"/>
          </w:tcPr>
          <w:p w14:paraId="65FEAB8A" w14:textId="02E1ADF2" w:rsidR="00EC542A" w:rsidRPr="00AE4C89" w:rsidRDefault="00DA6CBD" w:rsidP="00DA6CBD">
            <w:pPr>
              <w:spacing w:before="60" w:after="60"/>
              <w:rPr>
                <w:color w:val="FFFFFF"/>
                <w:sz w:val="18"/>
                <w:szCs w:val="18"/>
                <w:lang w:val="nl-BE"/>
              </w:rPr>
            </w:pPr>
            <w:proofErr w:type="spellStart"/>
            <w:r w:rsidRPr="00AE4C89">
              <w:rPr>
                <w:color w:val="FFFFFF"/>
                <w:sz w:val="18"/>
                <w:szCs w:val="18"/>
                <w:lang w:val="nl-BE"/>
              </w:rPr>
              <w:t>Arrêté</w:t>
            </w:r>
            <w:proofErr w:type="spellEnd"/>
          </w:p>
        </w:tc>
        <w:tc>
          <w:tcPr>
            <w:tcW w:w="1417" w:type="dxa"/>
            <w:tcBorders>
              <w:left w:val="nil"/>
              <w:right w:val="single" w:sz="4" w:space="0" w:color="FFFFFF" w:themeColor="background1"/>
            </w:tcBorders>
            <w:shd w:val="solid" w:color="D90030" w:fill="FFFFFF"/>
          </w:tcPr>
          <w:p w14:paraId="7607B80D" w14:textId="2F02417F" w:rsidR="00EC542A" w:rsidRPr="00AE4C89" w:rsidRDefault="00DA6CBD" w:rsidP="00EC542A">
            <w:pPr>
              <w:rPr>
                <w:color w:val="F2F2F2" w:themeColor="background1" w:themeShade="F2"/>
                <w:sz w:val="18"/>
                <w:szCs w:val="18"/>
                <w:lang w:val="nl-BE"/>
              </w:rPr>
            </w:pPr>
            <w:proofErr w:type="spellStart"/>
            <w:r w:rsidRPr="00AE4C89">
              <w:rPr>
                <w:color w:val="FFFFFF" w:themeColor="background1"/>
                <w:sz w:val="18"/>
                <w:szCs w:val="18"/>
                <w:lang w:val="nl-BE"/>
              </w:rPr>
              <w:t>Initié</w:t>
            </w:r>
            <w:proofErr w:type="spellEnd"/>
          </w:p>
        </w:tc>
        <w:tc>
          <w:tcPr>
            <w:tcW w:w="1276" w:type="dxa"/>
            <w:tcBorders>
              <w:left w:val="single" w:sz="4" w:space="0" w:color="FFFFFF" w:themeColor="background1"/>
            </w:tcBorders>
            <w:shd w:val="solid" w:color="D90030" w:fill="FFFFFF"/>
          </w:tcPr>
          <w:p w14:paraId="4F99CA99" w14:textId="2F275B17" w:rsidR="00EC542A" w:rsidRPr="00AE4C89" w:rsidRDefault="00AE4C89" w:rsidP="00AE4C89">
            <w:pPr>
              <w:rPr>
                <w:color w:val="F2F2F2" w:themeColor="background1" w:themeShade="F2"/>
                <w:sz w:val="18"/>
                <w:szCs w:val="18"/>
              </w:rPr>
            </w:pPr>
            <w:r w:rsidRPr="00AE4C89">
              <w:rPr>
                <w:color w:val="FFFFFF"/>
                <w:sz w:val="18"/>
                <w:szCs w:val="18"/>
              </w:rPr>
              <w:t>% de la population qui arrête</w:t>
            </w:r>
            <w:r w:rsidR="00EC542A" w:rsidRPr="00AE4C89">
              <w:rPr>
                <w:color w:val="FFFFFF"/>
                <w:sz w:val="18"/>
                <w:szCs w:val="18"/>
              </w:rPr>
              <w:t>*</w:t>
            </w:r>
          </w:p>
        </w:tc>
        <w:tc>
          <w:tcPr>
            <w:tcW w:w="1276" w:type="dxa"/>
            <w:shd w:val="solid" w:color="D90030" w:fill="FFFFFF"/>
          </w:tcPr>
          <w:p w14:paraId="59FE346F" w14:textId="3543470E" w:rsidR="00EC542A" w:rsidRPr="00AE4C89" w:rsidRDefault="00EC542A" w:rsidP="00AE4C89">
            <w:pPr>
              <w:rPr>
                <w:color w:val="F2F2F2" w:themeColor="background1" w:themeShade="F2"/>
                <w:sz w:val="18"/>
                <w:szCs w:val="18"/>
              </w:rPr>
            </w:pPr>
            <w:r w:rsidRPr="00AE4C89">
              <w:rPr>
                <w:color w:val="FFFFFF" w:themeColor="background1"/>
                <w:sz w:val="18"/>
                <w:szCs w:val="18"/>
              </w:rPr>
              <w:t xml:space="preserve">% de </w:t>
            </w:r>
            <w:r w:rsidR="00AE4C89" w:rsidRPr="00AE4C89">
              <w:rPr>
                <w:color w:val="FFFFFF" w:themeColor="background1"/>
                <w:sz w:val="18"/>
                <w:szCs w:val="18"/>
              </w:rPr>
              <w:t>la population qui initie</w:t>
            </w:r>
            <w:r w:rsidRPr="00AE4C89">
              <w:rPr>
                <w:color w:val="FFFFFF" w:themeColor="background1"/>
                <w:sz w:val="18"/>
                <w:szCs w:val="18"/>
              </w:rPr>
              <w:t>**</w:t>
            </w:r>
          </w:p>
        </w:tc>
        <w:tc>
          <w:tcPr>
            <w:tcW w:w="1371" w:type="dxa"/>
            <w:shd w:val="solid" w:color="D90030" w:fill="FFFFFF"/>
          </w:tcPr>
          <w:p w14:paraId="082E72E6" w14:textId="799502EC" w:rsidR="00EC542A" w:rsidRPr="00AE4C89" w:rsidRDefault="00EC542A" w:rsidP="00AE4C89">
            <w:pPr>
              <w:rPr>
                <w:color w:val="FFFFFF" w:themeColor="background1"/>
                <w:sz w:val="18"/>
                <w:szCs w:val="18"/>
              </w:rPr>
            </w:pPr>
            <w:r w:rsidRPr="00AE4C89">
              <w:rPr>
                <w:color w:val="FFFFFF" w:themeColor="background1"/>
                <w:sz w:val="18"/>
                <w:szCs w:val="18"/>
              </w:rPr>
              <w:t xml:space="preserve">% </w:t>
            </w:r>
            <w:r w:rsidR="00AE4C89" w:rsidRPr="00AE4C89">
              <w:rPr>
                <w:color w:val="FFFFFF" w:themeColor="background1"/>
                <w:sz w:val="18"/>
                <w:szCs w:val="18"/>
              </w:rPr>
              <w:t>de la population qui continue</w:t>
            </w:r>
            <w:r w:rsidRPr="00AE4C89">
              <w:rPr>
                <w:color w:val="FFFFFF" w:themeColor="background1"/>
                <w:sz w:val="18"/>
                <w:szCs w:val="18"/>
              </w:rPr>
              <w:t>*</w:t>
            </w:r>
          </w:p>
        </w:tc>
      </w:tr>
      <w:tr w:rsidR="00EC542A" w:rsidRPr="00AE4C89" w14:paraId="3A57C518" w14:textId="77777777" w:rsidTr="00AE4C89">
        <w:trPr>
          <w:trHeight w:val="340"/>
        </w:trPr>
        <w:tc>
          <w:tcPr>
            <w:tcW w:w="2268" w:type="dxa"/>
            <w:tcBorders>
              <w:right w:val="single" w:sz="4" w:space="0" w:color="DA002F"/>
            </w:tcBorders>
          </w:tcPr>
          <w:p w14:paraId="41567884" w14:textId="79907E41" w:rsidR="00EC542A" w:rsidRPr="00AE4C89" w:rsidRDefault="00EC542A" w:rsidP="00AE4C89">
            <w:pPr>
              <w:jc w:val="left"/>
              <w:rPr>
                <w:sz w:val="18"/>
                <w:szCs w:val="18"/>
                <w:lang w:val="nl-BE"/>
              </w:rPr>
            </w:pPr>
            <w:r w:rsidRPr="00AE4C89">
              <w:rPr>
                <w:sz w:val="18"/>
                <w:szCs w:val="18"/>
              </w:rPr>
              <w:t>Anti</w:t>
            </w:r>
            <w:proofErr w:type="spellStart"/>
            <w:r w:rsidR="00AE4C89" w:rsidRPr="00AE4C89">
              <w:rPr>
                <w:sz w:val="18"/>
                <w:szCs w:val="18"/>
                <w:lang w:val="nl-BE"/>
              </w:rPr>
              <w:t>agrégrants</w:t>
            </w:r>
            <w:proofErr w:type="spellEnd"/>
          </w:p>
        </w:tc>
        <w:tc>
          <w:tcPr>
            <w:tcW w:w="1418" w:type="dxa"/>
            <w:tcBorders>
              <w:left w:val="single" w:sz="4" w:space="0" w:color="DA002F"/>
              <w:right w:val="single" w:sz="4" w:space="0" w:color="DA002F"/>
            </w:tcBorders>
          </w:tcPr>
          <w:p w14:paraId="2D5A3F30" w14:textId="77777777" w:rsidR="00EC542A" w:rsidRPr="00AE4C89" w:rsidRDefault="00EC542A" w:rsidP="00EC542A">
            <w:pPr>
              <w:rPr>
                <w:sz w:val="18"/>
                <w:szCs w:val="18"/>
                <w:lang w:val="nl-BE"/>
              </w:rPr>
            </w:pPr>
            <w:r w:rsidRPr="00AE4C89">
              <w:rPr>
                <w:sz w:val="18"/>
                <w:szCs w:val="18"/>
              </w:rPr>
              <w:t>572</w:t>
            </w:r>
          </w:p>
        </w:tc>
        <w:tc>
          <w:tcPr>
            <w:tcW w:w="1417" w:type="dxa"/>
            <w:tcBorders>
              <w:left w:val="single" w:sz="4" w:space="0" w:color="DA002F"/>
              <w:right w:val="single" w:sz="4" w:space="0" w:color="DA002F"/>
            </w:tcBorders>
          </w:tcPr>
          <w:p w14:paraId="7A36E91A" w14:textId="77777777" w:rsidR="00EC542A" w:rsidRPr="00AE4C89" w:rsidRDefault="00EC542A" w:rsidP="00EC542A">
            <w:pPr>
              <w:rPr>
                <w:sz w:val="18"/>
                <w:szCs w:val="18"/>
                <w:lang w:val="nl-BE"/>
              </w:rPr>
            </w:pPr>
            <w:r w:rsidRPr="00AE4C89">
              <w:rPr>
                <w:sz w:val="18"/>
                <w:szCs w:val="18"/>
              </w:rPr>
              <w:t>302</w:t>
            </w:r>
          </w:p>
        </w:tc>
        <w:tc>
          <w:tcPr>
            <w:tcW w:w="1276" w:type="dxa"/>
            <w:tcBorders>
              <w:left w:val="single" w:sz="4" w:space="0" w:color="DA002F"/>
              <w:right w:val="single" w:sz="4" w:space="0" w:color="DA002F"/>
            </w:tcBorders>
          </w:tcPr>
          <w:p w14:paraId="27999464" w14:textId="77777777" w:rsidR="00EC542A" w:rsidRPr="00AE4C89" w:rsidRDefault="00EC542A" w:rsidP="00EC542A">
            <w:pPr>
              <w:rPr>
                <w:sz w:val="18"/>
                <w:szCs w:val="18"/>
                <w:lang w:val="nl-BE"/>
              </w:rPr>
            </w:pPr>
            <w:r w:rsidRPr="00AE4C89">
              <w:rPr>
                <w:sz w:val="18"/>
                <w:szCs w:val="18"/>
              </w:rPr>
              <w:t>22%</w:t>
            </w:r>
          </w:p>
        </w:tc>
        <w:tc>
          <w:tcPr>
            <w:tcW w:w="1276" w:type="dxa"/>
            <w:tcBorders>
              <w:left w:val="single" w:sz="4" w:space="0" w:color="DA002F"/>
            </w:tcBorders>
          </w:tcPr>
          <w:p w14:paraId="49DE833D" w14:textId="77777777" w:rsidR="00EC542A" w:rsidRPr="00AE4C89" w:rsidRDefault="00EC542A" w:rsidP="00EC542A">
            <w:pPr>
              <w:rPr>
                <w:sz w:val="18"/>
                <w:szCs w:val="18"/>
                <w:lang w:val="nl-BE"/>
              </w:rPr>
            </w:pPr>
            <w:r w:rsidRPr="00AE4C89">
              <w:rPr>
                <w:sz w:val="18"/>
                <w:szCs w:val="18"/>
              </w:rPr>
              <w:t>13%</w:t>
            </w:r>
          </w:p>
        </w:tc>
        <w:tc>
          <w:tcPr>
            <w:tcW w:w="1371" w:type="dxa"/>
            <w:tcBorders>
              <w:left w:val="single" w:sz="4" w:space="0" w:color="DA002F"/>
            </w:tcBorders>
          </w:tcPr>
          <w:p w14:paraId="785D9CDD" w14:textId="77777777" w:rsidR="00EC542A" w:rsidRPr="00AE4C89" w:rsidRDefault="00EC542A" w:rsidP="00EC542A">
            <w:pPr>
              <w:rPr>
                <w:sz w:val="18"/>
                <w:szCs w:val="18"/>
                <w:lang w:val="nl-BE"/>
              </w:rPr>
            </w:pPr>
            <w:r w:rsidRPr="00AE4C89">
              <w:rPr>
                <w:sz w:val="18"/>
                <w:szCs w:val="18"/>
              </w:rPr>
              <w:t>78%</w:t>
            </w:r>
          </w:p>
        </w:tc>
      </w:tr>
      <w:tr w:rsidR="00EC542A" w:rsidRPr="00AE4C89" w14:paraId="6018D604" w14:textId="77777777" w:rsidTr="00AE4C89">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5430F878" w14:textId="77777777" w:rsidR="00EC542A" w:rsidRPr="00AE4C89" w:rsidRDefault="00EC542A" w:rsidP="00EC542A">
            <w:pPr>
              <w:jc w:val="left"/>
              <w:rPr>
                <w:sz w:val="18"/>
                <w:szCs w:val="18"/>
                <w:lang w:val="nl-BE"/>
              </w:rPr>
            </w:pPr>
            <w:r w:rsidRPr="00AE4C89">
              <w:rPr>
                <w:sz w:val="18"/>
                <w:szCs w:val="18"/>
              </w:rPr>
              <w:t>Statines</w:t>
            </w:r>
          </w:p>
        </w:tc>
        <w:tc>
          <w:tcPr>
            <w:tcW w:w="1418" w:type="dxa"/>
            <w:tcBorders>
              <w:left w:val="single" w:sz="4" w:space="0" w:color="DA002F"/>
              <w:right w:val="single" w:sz="4" w:space="0" w:color="DA002F"/>
            </w:tcBorders>
          </w:tcPr>
          <w:p w14:paraId="75B8E9C2" w14:textId="77777777" w:rsidR="00EC542A" w:rsidRPr="00AE4C89" w:rsidRDefault="00EC542A" w:rsidP="00EC542A">
            <w:pPr>
              <w:rPr>
                <w:sz w:val="18"/>
                <w:szCs w:val="18"/>
                <w:lang w:val="nl-BE"/>
              </w:rPr>
            </w:pPr>
            <w:r w:rsidRPr="00AE4C89">
              <w:rPr>
                <w:sz w:val="18"/>
                <w:szCs w:val="18"/>
              </w:rPr>
              <w:t>391</w:t>
            </w:r>
          </w:p>
        </w:tc>
        <w:tc>
          <w:tcPr>
            <w:tcW w:w="1417" w:type="dxa"/>
            <w:tcBorders>
              <w:left w:val="single" w:sz="4" w:space="0" w:color="DA002F"/>
              <w:right w:val="single" w:sz="4" w:space="0" w:color="DA002F"/>
            </w:tcBorders>
          </w:tcPr>
          <w:p w14:paraId="51ECB355" w14:textId="77777777" w:rsidR="00EC542A" w:rsidRPr="00AE4C89" w:rsidRDefault="00EC542A" w:rsidP="00EC542A">
            <w:pPr>
              <w:rPr>
                <w:sz w:val="18"/>
                <w:szCs w:val="18"/>
                <w:lang w:val="nl-BE"/>
              </w:rPr>
            </w:pPr>
            <w:r w:rsidRPr="00AE4C89">
              <w:rPr>
                <w:sz w:val="18"/>
                <w:szCs w:val="18"/>
              </w:rPr>
              <w:t>145</w:t>
            </w:r>
          </w:p>
        </w:tc>
        <w:tc>
          <w:tcPr>
            <w:tcW w:w="1276" w:type="dxa"/>
            <w:tcBorders>
              <w:left w:val="single" w:sz="4" w:space="0" w:color="DA002F"/>
              <w:right w:val="single" w:sz="4" w:space="0" w:color="DA002F"/>
            </w:tcBorders>
          </w:tcPr>
          <w:p w14:paraId="00A8A776" w14:textId="77777777" w:rsidR="00EC542A" w:rsidRPr="00AE4C89" w:rsidRDefault="00EC542A" w:rsidP="00EC542A">
            <w:pPr>
              <w:rPr>
                <w:sz w:val="18"/>
                <w:szCs w:val="18"/>
                <w:lang w:val="nl-BE"/>
              </w:rPr>
            </w:pPr>
            <w:r w:rsidRPr="00AE4C89">
              <w:rPr>
                <w:sz w:val="18"/>
                <w:szCs w:val="18"/>
              </w:rPr>
              <w:t>27%</w:t>
            </w:r>
          </w:p>
        </w:tc>
        <w:tc>
          <w:tcPr>
            <w:tcW w:w="1276" w:type="dxa"/>
            <w:tcBorders>
              <w:left w:val="single" w:sz="4" w:space="0" w:color="DA002F"/>
            </w:tcBorders>
          </w:tcPr>
          <w:p w14:paraId="612D1CB4" w14:textId="77777777" w:rsidR="00EC542A" w:rsidRPr="00AE4C89" w:rsidRDefault="00EC542A" w:rsidP="00EC542A">
            <w:pPr>
              <w:rPr>
                <w:sz w:val="18"/>
                <w:szCs w:val="18"/>
                <w:lang w:val="nl-BE"/>
              </w:rPr>
            </w:pPr>
            <w:r w:rsidRPr="00AE4C89">
              <w:rPr>
                <w:sz w:val="18"/>
                <w:szCs w:val="18"/>
              </w:rPr>
              <w:t>12%</w:t>
            </w:r>
          </w:p>
        </w:tc>
        <w:tc>
          <w:tcPr>
            <w:tcW w:w="1371" w:type="dxa"/>
            <w:tcBorders>
              <w:left w:val="single" w:sz="4" w:space="0" w:color="DA002F"/>
            </w:tcBorders>
          </w:tcPr>
          <w:p w14:paraId="1AB30022" w14:textId="77777777" w:rsidR="00EC542A" w:rsidRPr="00AE4C89" w:rsidRDefault="00EC542A" w:rsidP="00EC542A">
            <w:pPr>
              <w:rPr>
                <w:sz w:val="18"/>
                <w:szCs w:val="18"/>
                <w:lang w:val="nl-BE"/>
              </w:rPr>
            </w:pPr>
            <w:r w:rsidRPr="00AE4C89">
              <w:rPr>
                <w:sz w:val="18"/>
                <w:szCs w:val="18"/>
              </w:rPr>
              <w:t>73%</w:t>
            </w:r>
          </w:p>
        </w:tc>
      </w:tr>
      <w:tr w:rsidR="00EC542A" w:rsidRPr="00AE4C89" w14:paraId="21332F57" w14:textId="77777777" w:rsidTr="00AE4C89">
        <w:trPr>
          <w:trHeight w:val="340"/>
        </w:trPr>
        <w:tc>
          <w:tcPr>
            <w:tcW w:w="2268" w:type="dxa"/>
            <w:tcBorders>
              <w:right w:val="single" w:sz="4" w:space="0" w:color="DA002F"/>
            </w:tcBorders>
          </w:tcPr>
          <w:p w14:paraId="33D7441A" w14:textId="77777777" w:rsidR="00EC542A" w:rsidRPr="00AE4C89" w:rsidRDefault="00EC542A" w:rsidP="00EC542A">
            <w:pPr>
              <w:jc w:val="left"/>
              <w:rPr>
                <w:sz w:val="18"/>
                <w:szCs w:val="18"/>
                <w:lang w:val="nl-BE"/>
              </w:rPr>
            </w:pPr>
            <w:r w:rsidRPr="00AE4C89">
              <w:rPr>
                <w:sz w:val="18"/>
                <w:szCs w:val="18"/>
              </w:rPr>
              <w:t>Antibiotiques</w:t>
            </w:r>
          </w:p>
        </w:tc>
        <w:tc>
          <w:tcPr>
            <w:tcW w:w="1418" w:type="dxa"/>
            <w:tcBorders>
              <w:left w:val="single" w:sz="4" w:space="0" w:color="DA002F"/>
              <w:right w:val="single" w:sz="4" w:space="0" w:color="DA002F"/>
            </w:tcBorders>
          </w:tcPr>
          <w:p w14:paraId="645C5B75" w14:textId="77777777" w:rsidR="00EC542A" w:rsidRPr="00AE4C89" w:rsidRDefault="00EC542A" w:rsidP="00EC542A">
            <w:pPr>
              <w:rPr>
                <w:sz w:val="18"/>
                <w:szCs w:val="18"/>
                <w:lang w:val="nl-BE"/>
              </w:rPr>
            </w:pPr>
            <w:r w:rsidRPr="00AE4C89">
              <w:rPr>
                <w:sz w:val="18"/>
                <w:szCs w:val="18"/>
              </w:rPr>
              <w:t>343</w:t>
            </w:r>
          </w:p>
        </w:tc>
        <w:tc>
          <w:tcPr>
            <w:tcW w:w="1417" w:type="dxa"/>
            <w:tcBorders>
              <w:left w:val="single" w:sz="4" w:space="0" w:color="DA002F"/>
              <w:right w:val="single" w:sz="4" w:space="0" w:color="DA002F"/>
            </w:tcBorders>
          </w:tcPr>
          <w:p w14:paraId="462D7251" w14:textId="77777777" w:rsidR="00EC542A" w:rsidRPr="00AE4C89" w:rsidRDefault="00EC542A" w:rsidP="00EC542A">
            <w:pPr>
              <w:rPr>
                <w:sz w:val="18"/>
                <w:szCs w:val="18"/>
                <w:lang w:val="nl-BE"/>
              </w:rPr>
            </w:pPr>
            <w:r w:rsidRPr="00AE4C89">
              <w:rPr>
                <w:sz w:val="18"/>
                <w:szCs w:val="18"/>
              </w:rPr>
              <w:t>250</w:t>
            </w:r>
          </w:p>
        </w:tc>
        <w:tc>
          <w:tcPr>
            <w:tcW w:w="1276" w:type="dxa"/>
            <w:tcBorders>
              <w:left w:val="single" w:sz="4" w:space="0" w:color="DA002F"/>
              <w:right w:val="single" w:sz="4" w:space="0" w:color="DA002F"/>
            </w:tcBorders>
          </w:tcPr>
          <w:p w14:paraId="58876CF5" w14:textId="77777777" w:rsidR="00EC542A" w:rsidRPr="00AE4C89" w:rsidRDefault="00EC542A" w:rsidP="00EC542A">
            <w:pPr>
              <w:rPr>
                <w:sz w:val="18"/>
                <w:szCs w:val="18"/>
                <w:lang w:val="nl-BE"/>
              </w:rPr>
            </w:pPr>
            <w:r w:rsidRPr="00AE4C89">
              <w:rPr>
                <w:sz w:val="18"/>
                <w:szCs w:val="18"/>
              </w:rPr>
              <w:t>76%</w:t>
            </w:r>
          </w:p>
        </w:tc>
        <w:tc>
          <w:tcPr>
            <w:tcW w:w="1276" w:type="dxa"/>
            <w:tcBorders>
              <w:left w:val="single" w:sz="4" w:space="0" w:color="DA002F"/>
            </w:tcBorders>
          </w:tcPr>
          <w:p w14:paraId="5E6BE38B" w14:textId="77777777" w:rsidR="00EC542A" w:rsidRPr="00AE4C89" w:rsidRDefault="00EC542A" w:rsidP="00EC542A">
            <w:pPr>
              <w:rPr>
                <w:sz w:val="18"/>
                <w:szCs w:val="18"/>
                <w:lang w:val="nl-BE"/>
              </w:rPr>
            </w:pPr>
            <w:r w:rsidRPr="00AE4C89">
              <w:rPr>
                <w:sz w:val="18"/>
                <w:szCs w:val="18"/>
              </w:rPr>
              <w:t>69%</w:t>
            </w:r>
          </w:p>
        </w:tc>
        <w:tc>
          <w:tcPr>
            <w:tcW w:w="1371" w:type="dxa"/>
            <w:tcBorders>
              <w:left w:val="single" w:sz="4" w:space="0" w:color="DA002F"/>
            </w:tcBorders>
          </w:tcPr>
          <w:p w14:paraId="6C0544F4" w14:textId="77777777" w:rsidR="00EC542A" w:rsidRPr="00AE4C89" w:rsidRDefault="00EC542A" w:rsidP="00EC542A">
            <w:pPr>
              <w:rPr>
                <w:sz w:val="18"/>
                <w:szCs w:val="18"/>
                <w:lang w:val="nl-BE"/>
              </w:rPr>
            </w:pPr>
            <w:r w:rsidRPr="00AE4C89">
              <w:rPr>
                <w:sz w:val="18"/>
                <w:szCs w:val="18"/>
              </w:rPr>
              <w:t>24%</w:t>
            </w:r>
          </w:p>
        </w:tc>
      </w:tr>
      <w:tr w:rsidR="00EC542A" w:rsidRPr="00AE4C89" w14:paraId="42D09E32" w14:textId="77777777" w:rsidTr="00AE4C89">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43ABE942" w14:textId="050D2FE3" w:rsidR="00EC542A" w:rsidRPr="00AE4C89" w:rsidRDefault="00AE4C89" w:rsidP="00EC542A">
            <w:pPr>
              <w:jc w:val="left"/>
              <w:rPr>
                <w:sz w:val="18"/>
                <w:szCs w:val="18"/>
                <w:lang w:val="nl-BE"/>
              </w:rPr>
            </w:pPr>
            <w:proofErr w:type="spellStart"/>
            <w:r w:rsidRPr="00AE4C89">
              <w:rPr>
                <w:sz w:val="18"/>
                <w:szCs w:val="18"/>
                <w:lang w:val="nl-BE"/>
              </w:rPr>
              <w:t>Antihypertenseurs</w:t>
            </w:r>
            <w:proofErr w:type="spellEnd"/>
            <w:r w:rsidRPr="00AE4C89">
              <w:rPr>
                <w:sz w:val="18"/>
                <w:szCs w:val="18"/>
                <w:lang w:val="nl-BE"/>
              </w:rPr>
              <w:t xml:space="preserve"> </w:t>
            </w:r>
          </w:p>
        </w:tc>
        <w:tc>
          <w:tcPr>
            <w:tcW w:w="1418" w:type="dxa"/>
            <w:tcBorders>
              <w:left w:val="single" w:sz="4" w:space="0" w:color="DA002F"/>
              <w:right w:val="single" w:sz="4" w:space="0" w:color="DA002F"/>
            </w:tcBorders>
          </w:tcPr>
          <w:p w14:paraId="35205BD9" w14:textId="77777777" w:rsidR="00EC542A" w:rsidRPr="00AE4C89" w:rsidRDefault="00EC542A" w:rsidP="00EC542A">
            <w:pPr>
              <w:rPr>
                <w:sz w:val="18"/>
                <w:szCs w:val="18"/>
                <w:lang w:val="nl-BE"/>
              </w:rPr>
            </w:pPr>
            <w:r w:rsidRPr="00AE4C89">
              <w:rPr>
                <w:sz w:val="18"/>
                <w:szCs w:val="18"/>
              </w:rPr>
              <w:t>284</w:t>
            </w:r>
          </w:p>
        </w:tc>
        <w:tc>
          <w:tcPr>
            <w:tcW w:w="1417" w:type="dxa"/>
            <w:tcBorders>
              <w:left w:val="single" w:sz="4" w:space="0" w:color="DA002F"/>
              <w:right w:val="single" w:sz="4" w:space="0" w:color="DA002F"/>
            </w:tcBorders>
          </w:tcPr>
          <w:p w14:paraId="357069A0" w14:textId="77777777" w:rsidR="00EC542A" w:rsidRPr="00AE4C89" w:rsidRDefault="00EC542A" w:rsidP="00EC542A">
            <w:pPr>
              <w:rPr>
                <w:sz w:val="18"/>
                <w:szCs w:val="18"/>
                <w:lang w:val="nl-BE"/>
              </w:rPr>
            </w:pPr>
            <w:r w:rsidRPr="00AE4C89">
              <w:rPr>
                <w:sz w:val="18"/>
                <w:szCs w:val="18"/>
              </w:rPr>
              <w:t>216</w:t>
            </w:r>
          </w:p>
        </w:tc>
        <w:tc>
          <w:tcPr>
            <w:tcW w:w="1276" w:type="dxa"/>
            <w:tcBorders>
              <w:left w:val="single" w:sz="4" w:space="0" w:color="DA002F"/>
              <w:right w:val="single" w:sz="4" w:space="0" w:color="DA002F"/>
            </w:tcBorders>
          </w:tcPr>
          <w:p w14:paraId="3490F824" w14:textId="77777777" w:rsidR="00EC542A" w:rsidRPr="00AE4C89" w:rsidRDefault="00EC542A" w:rsidP="00EC542A">
            <w:pPr>
              <w:rPr>
                <w:sz w:val="18"/>
                <w:szCs w:val="18"/>
                <w:lang w:val="nl-BE"/>
              </w:rPr>
            </w:pPr>
            <w:r w:rsidRPr="00AE4C89">
              <w:rPr>
                <w:sz w:val="18"/>
                <w:szCs w:val="18"/>
              </w:rPr>
              <w:t>10%</w:t>
            </w:r>
          </w:p>
        </w:tc>
        <w:tc>
          <w:tcPr>
            <w:tcW w:w="1276" w:type="dxa"/>
            <w:tcBorders>
              <w:left w:val="single" w:sz="4" w:space="0" w:color="DA002F"/>
            </w:tcBorders>
          </w:tcPr>
          <w:p w14:paraId="388C4ED3" w14:textId="77777777" w:rsidR="00EC542A" w:rsidRPr="00AE4C89" w:rsidRDefault="00EC542A" w:rsidP="00EC542A">
            <w:pPr>
              <w:rPr>
                <w:sz w:val="18"/>
                <w:szCs w:val="18"/>
                <w:lang w:val="nl-BE"/>
              </w:rPr>
            </w:pPr>
            <w:r w:rsidRPr="00AE4C89">
              <w:rPr>
                <w:sz w:val="18"/>
                <w:szCs w:val="18"/>
              </w:rPr>
              <w:t>8%</w:t>
            </w:r>
          </w:p>
        </w:tc>
        <w:tc>
          <w:tcPr>
            <w:tcW w:w="1371" w:type="dxa"/>
            <w:tcBorders>
              <w:left w:val="single" w:sz="4" w:space="0" w:color="DA002F"/>
            </w:tcBorders>
          </w:tcPr>
          <w:p w14:paraId="79B8D502" w14:textId="77777777" w:rsidR="00EC542A" w:rsidRPr="00AE4C89" w:rsidRDefault="00EC542A" w:rsidP="00EC542A">
            <w:pPr>
              <w:rPr>
                <w:sz w:val="18"/>
                <w:szCs w:val="18"/>
                <w:lang w:val="nl-BE"/>
              </w:rPr>
            </w:pPr>
            <w:r w:rsidRPr="00AE4C89">
              <w:rPr>
                <w:sz w:val="18"/>
                <w:szCs w:val="18"/>
              </w:rPr>
              <w:t>90%</w:t>
            </w:r>
          </w:p>
        </w:tc>
      </w:tr>
      <w:tr w:rsidR="00EC542A" w:rsidRPr="00AE4C89" w14:paraId="37F3CA3C" w14:textId="77777777" w:rsidTr="00AE4C89">
        <w:trPr>
          <w:trHeight w:val="340"/>
        </w:trPr>
        <w:tc>
          <w:tcPr>
            <w:tcW w:w="2268" w:type="dxa"/>
            <w:tcBorders>
              <w:right w:val="single" w:sz="4" w:space="0" w:color="DA002F"/>
            </w:tcBorders>
          </w:tcPr>
          <w:p w14:paraId="5851B05D" w14:textId="77777777" w:rsidR="00EC542A" w:rsidRPr="00AE4C89" w:rsidRDefault="00EC542A" w:rsidP="00EC542A">
            <w:pPr>
              <w:jc w:val="left"/>
              <w:rPr>
                <w:sz w:val="18"/>
                <w:szCs w:val="18"/>
                <w:lang w:val="nl-BE"/>
              </w:rPr>
            </w:pPr>
            <w:r w:rsidRPr="00AE4C89">
              <w:rPr>
                <w:sz w:val="18"/>
                <w:szCs w:val="18"/>
              </w:rPr>
              <w:t>Antidépresseurs</w:t>
            </w:r>
          </w:p>
        </w:tc>
        <w:tc>
          <w:tcPr>
            <w:tcW w:w="1418" w:type="dxa"/>
            <w:tcBorders>
              <w:left w:val="single" w:sz="4" w:space="0" w:color="DA002F"/>
              <w:right w:val="single" w:sz="4" w:space="0" w:color="DA002F"/>
            </w:tcBorders>
          </w:tcPr>
          <w:p w14:paraId="50E7D592" w14:textId="77777777" w:rsidR="00EC542A" w:rsidRPr="00AE4C89" w:rsidRDefault="00EC542A" w:rsidP="00EC542A">
            <w:pPr>
              <w:rPr>
                <w:sz w:val="18"/>
                <w:szCs w:val="18"/>
                <w:lang w:val="nl-BE"/>
              </w:rPr>
            </w:pPr>
            <w:r w:rsidRPr="00AE4C89">
              <w:rPr>
                <w:sz w:val="18"/>
                <w:szCs w:val="18"/>
              </w:rPr>
              <w:t>230</w:t>
            </w:r>
          </w:p>
        </w:tc>
        <w:tc>
          <w:tcPr>
            <w:tcW w:w="1417" w:type="dxa"/>
            <w:tcBorders>
              <w:left w:val="single" w:sz="4" w:space="0" w:color="DA002F"/>
              <w:right w:val="single" w:sz="4" w:space="0" w:color="DA002F"/>
            </w:tcBorders>
          </w:tcPr>
          <w:p w14:paraId="68F9308E" w14:textId="77777777" w:rsidR="00EC542A" w:rsidRPr="00AE4C89" w:rsidRDefault="00EC542A" w:rsidP="00EC542A">
            <w:pPr>
              <w:rPr>
                <w:sz w:val="18"/>
                <w:szCs w:val="18"/>
                <w:lang w:val="nl-BE"/>
              </w:rPr>
            </w:pPr>
            <w:r w:rsidRPr="00AE4C89">
              <w:rPr>
                <w:sz w:val="18"/>
                <w:szCs w:val="18"/>
              </w:rPr>
              <w:t>339</w:t>
            </w:r>
          </w:p>
        </w:tc>
        <w:tc>
          <w:tcPr>
            <w:tcW w:w="1276" w:type="dxa"/>
            <w:tcBorders>
              <w:left w:val="single" w:sz="4" w:space="0" w:color="DA002F"/>
              <w:right w:val="single" w:sz="4" w:space="0" w:color="DA002F"/>
            </w:tcBorders>
          </w:tcPr>
          <w:p w14:paraId="3AC8B4B8" w14:textId="77777777" w:rsidR="00EC542A" w:rsidRPr="00AE4C89" w:rsidRDefault="00EC542A" w:rsidP="00EC542A">
            <w:pPr>
              <w:rPr>
                <w:sz w:val="18"/>
                <w:szCs w:val="18"/>
                <w:lang w:val="nl-BE"/>
              </w:rPr>
            </w:pPr>
            <w:r w:rsidRPr="00AE4C89">
              <w:rPr>
                <w:sz w:val="18"/>
                <w:szCs w:val="18"/>
              </w:rPr>
              <w:t>17%</w:t>
            </w:r>
          </w:p>
        </w:tc>
        <w:tc>
          <w:tcPr>
            <w:tcW w:w="1276" w:type="dxa"/>
            <w:tcBorders>
              <w:left w:val="single" w:sz="4" w:space="0" w:color="DA002F"/>
            </w:tcBorders>
          </w:tcPr>
          <w:p w14:paraId="40C9B75B" w14:textId="77777777" w:rsidR="00EC542A" w:rsidRPr="00AE4C89" w:rsidRDefault="00EC542A" w:rsidP="00EC542A">
            <w:pPr>
              <w:rPr>
                <w:sz w:val="18"/>
                <w:szCs w:val="18"/>
                <w:lang w:val="nl-BE"/>
              </w:rPr>
            </w:pPr>
            <w:r w:rsidRPr="00AE4C89">
              <w:rPr>
                <w:sz w:val="18"/>
                <w:szCs w:val="18"/>
              </w:rPr>
              <w:t>24%</w:t>
            </w:r>
          </w:p>
        </w:tc>
        <w:tc>
          <w:tcPr>
            <w:tcW w:w="1371" w:type="dxa"/>
            <w:tcBorders>
              <w:left w:val="single" w:sz="4" w:space="0" w:color="DA002F"/>
            </w:tcBorders>
          </w:tcPr>
          <w:p w14:paraId="158C06F6" w14:textId="77777777" w:rsidR="00EC542A" w:rsidRPr="00AE4C89" w:rsidRDefault="00EC542A" w:rsidP="00EC542A">
            <w:pPr>
              <w:rPr>
                <w:sz w:val="18"/>
                <w:szCs w:val="18"/>
                <w:lang w:val="nl-BE"/>
              </w:rPr>
            </w:pPr>
            <w:r w:rsidRPr="00AE4C89">
              <w:rPr>
                <w:sz w:val="18"/>
                <w:szCs w:val="18"/>
              </w:rPr>
              <w:t>83%</w:t>
            </w:r>
          </w:p>
        </w:tc>
      </w:tr>
      <w:tr w:rsidR="00EC542A" w:rsidRPr="00AE4C89" w14:paraId="3E222970" w14:textId="77777777" w:rsidTr="00AE4C89">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1EA2227C" w14:textId="77777777" w:rsidR="00EC542A" w:rsidRPr="00AE4C89" w:rsidRDefault="00EC542A" w:rsidP="00EC542A">
            <w:pPr>
              <w:jc w:val="left"/>
              <w:rPr>
                <w:sz w:val="18"/>
                <w:szCs w:val="18"/>
              </w:rPr>
            </w:pPr>
            <w:r w:rsidRPr="00AE4C89">
              <w:rPr>
                <w:sz w:val="18"/>
                <w:szCs w:val="18"/>
              </w:rPr>
              <w:t>Inhibiteurs de la pompe à protons</w:t>
            </w:r>
          </w:p>
        </w:tc>
        <w:tc>
          <w:tcPr>
            <w:tcW w:w="1418" w:type="dxa"/>
            <w:tcBorders>
              <w:left w:val="single" w:sz="4" w:space="0" w:color="DA002F"/>
              <w:right w:val="single" w:sz="4" w:space="0" w:color="DA002F"/>
            </w:tcBorders>
          </w:tcPr>
          <w:p w14:paraId="4D11BBD9" w14:textId="77777777" w:rsidR="00EC542A" w:rsidRPr="00AE4C89" w:rsidRDefault="00EC542A" w:rsidP="00EC542A">
            <w:pPr>
              <w:rPr>
                <w:sz w:val="18"/>
                <w:szCs w:val="18"/>
                <w:lang w:val="nl-BE"/>
              </w:rPr>
            </w:pPr>
            <w:r w:rsidRPr="00AE4C89">
              <w:rPr>
                <w:sz w:val="18"/>
                <w:szCs w:val="18"/>
              </w:rPr>
              <w:t>220</w:t>
            </w:r>
          </w:p>
        </w:tc>
        <w:tc>
          <w:tcPr>
            <w:tcW w:w="1417" w:type="dxa"/>
            <w:tcBorders>
              <w:left w:val="single" w:sz="4" w:space="0" w:color="DA002F"/>
              <w:right w:val="single" w:sz="4" w:space="0" w:color="DA002F"/>
            </w:tcBorders>
          </w:tcPr>
          <w:p w14:paraId="3C6054A4" w14:textId="77777777" w:rsidR="00EC542A" w:rsidRPr="00AE4C89" w:rsidRDefault="00EC542A" w:rsidP="00EC542A">
            <w:pPr>
              <w:rPr>
                <w:sz w:val="18"/>
                <w:szCs w:val="18"/>
                <w:lang w:val="nl-BE"/>
              </w:rPr>
            </w:pPr>
            <w:r w:rsidRPr="00AE4C89">
              <w:rPr>
                <w:sz w:val="18"/>
                <w:szCs w:val="18"/>
              </w:rPr>
              <w:t>359</w:t>
            </w:r>
          </w:p>
        </w:tc>
        <w:tc>
          <w:tcPr>
            <w:tcW w:w="1276" w:type="dxa"/>
            <w:tcBorders>
              <w:left w:val="single" w:sz="4" w:space="0" w:color="DA002F"/>
              <w:right w:val="single" w:sz="4" w:space="0" w:color="DA002F"/>
            </w:tcBorders>
          </w:tcPr>
          <w:p w14:paraId="569BE521" w14:textId="77777777" w:rsidR="00EC542A" w:rsidRPr="00AE4C89" w:rsidRDefault="00EC542A" w:rsidP="00EC542A">
            <w:pPr>
              <w:rPr>
                <w:sz w:val="18"/>
                <w:szCs w:val="18"/>
                <w:lang w:val="nl-BE"/>
              </w:rPr>
            </w:pPr>
            <w:r w:rsidRPr="00AE4C89">
              <w:rPr>
                <w:sz w:val="18"/>
                <w:szCs w:val="18"/>
              </w:rPr>
              <w:t>12%</w:t>
            </w:r>
          </w:p>
        </w:tc>
        <w:tc>
          <w:tcPr>
            <w:tcW w:w="1276" w:type="dxa"/>
            <w:tcBorders>
              <w:left w:val="single" w:sz="4" w:space="0" w:color="DA002F"/>
            </w:tcBorders>
          </w:tcPr>
          <w:p w14:paraId="35B1FCC1" w14:textId="77777777" w:rsidR="00EC542A" w:rsidRPr="00AE4C89" w:rsidRDefault="00EC542A" w:rsidP="00EC542A">
            <w:pPr>
              <w:rPr>
                <w:sz w:val="18"/>
                <w:szCs w:val="18"/>
                <w:lang w:val="nl-BE"/>
              </w:rPr>
            </w:pPr>
            <w:r w:rsidRPr="00AE4C89">
              <w:rPr>
                <w:sz w:val="18"/>
                <w:szCs w:val="18"/>
              </w:rPr>
              <w:t>19%</w:t>
            </w:r>
          </w:p>
        </w:tc>
        <w:tc>
          <w:tcPr>
            <w:tcW w:w="1371" w:type="dxa"/>
            <w:tcBorders>
              <w:left w:val="single" w:sz="4" w:space="0" w:color="DA002F"/>
            </w:tcBorders>
          </w:tcPr>
          <w:p w14:paraId="083A42D2" w14:textId="77777777" w:rsidR="00EC542A" w:rsidRPr="00AE4C89" w:rsidRDefault="00EC542A" w:rsidP="00EC542A">
            <w:pPr>
              <w:rPr>
                <w:sz w:val="18"/>
                <w:szCs w:val="18"/>
                <w:lang w:val="nl-BE"/>
              </w:rPr>
            </w:pPr>
            <w:r w:rsidRPr="00AE4C89">
              <w:rPr>
                <w:sz w:val="18"/>
                <w:szCs w:val="18"/>
              </w:rPr>
              <w:t>88%</w:t>
            </w:r>
          </w:p>
        </w:tc>
      </w:tr>
      <w:tr w:rsidR="00EC542A" w:rsidRPr="00AE4C89" w14:paraId="23B12BEC" w14:textId="77777777" w:rsidTr="00AE4C89">
        <w:trPr>
          <w:trHeight w:val="340"/>
        </w:trPr>
        <w:tc>
          <w:tcPr>
            <w:tcW w:w="2268" w:type="dxa"/>
            <w:tcBorders>
              <w:right w:val="single" w:sz="4" w:space="0" w:color="DA002F"/>
            </w:tcBorders>
          </w:tcPr>
          <w:p w14:paraId="3F9C7B8A" w14:textId="77777777" w:rsidR="00EC542A" w:rsidRPr="00AE4C89" w:rsidRDefault="00EC542A" w:rsidP="00EC542A">
            <w:pPr>
              <w:jc w:val="left"/>
              <w:rPr>
                <w:sz w:val="18"/>
                <w:szCs w:val="18"/>
                <w:lang w:val="nl-BE"/>
              </w:rPr>
            </w:pPr>
            <w:r w:rsidRPr="00AE4C89">
              <w:rPr>
                <w:sz w:val="18"/>
                <w:szCs w:val="18"/>
              </w:rPr>
              <w:t>Anti-inflammatoires</w:t>
            </w:r>
          </w:p>
        </w:tc>
        <w:tc>
          <w:tcPr>
            <w:tcW w:w="1418" w:type="dxa"/>
            <w:tcBorders>
              <w:left w:val="single" w:sz="4" w:space="0" w:color="DA002F"/>
              <w:right w:val="single" w:sz="4" w:space="0" w:color="DA002F"/>
            </w:tcBorders>
          </w:tcPr>
          <w:p w14:paraId="713C2C67" w14:textId="77777777" w:rsidR="00EC542A" w:rsidRPr="00AE4C89" w:rsidRDefault="00EC542A" w:rsidP="00EC542A">
            <w:pPr>
              <w:rPr>
                <w:sz w:val="18"/>
                <w:szCs w:val="18"/>
                <w:lang w:val="nl-BE"/>
              </w:rPr>
            </w:pPr>
            <w:r w:rsidRPr="00AE4C89">
              <w:rPr>
                <w:sz w:val="18"/>
                <w:szCs w:val="18"/>
              </w:rPr>
              <w:t>206</w:t>
            </w:r>
          </w:p>
        </w:tc>
        <w:tc>
          <w:tcPr>
            <w:tcW w:w="1417" w:type="dxa"/>
            <w:tcBorders>
              <w:left w:val="single" w:sz="4" w:space="0" w:color="DA002F"/>
              <w:right w:val="single" w:sz="4" w:space="0" w:color="DA002F"/>
            </w:tcBorders>
          </w:tcPr>
          <w:p w14:paraId="2C80725E" w14:textId="77777777" w:rsidR="00EC542A" w:rsidRPr="00AE4C89" w:rsidRDefault="00EC542A" w:rsidP="00EC542A">
            <w:pPr>
              <w:rPr>
                <w:sz w:val="18"/>
                <w:szCs w:val="18"/>
                <w:lang w:val="nl-BE"/>
              </w:rPr>
            </w:pPr>
            <w:r w:rsidRPr="00AE4C89">
              <w:rPr>
                <w:sz w:val="18"/>
                <w:szCs w:val="18"/>
              </w:rPr>
              <w:t>82</w:t>
            </w:r>
          </w:p>
        </w:tc>
        <w:tc>
          <w:tcPr>
            <w:tcW w:w="1276" w:type="dxa"/>
            <w:tcBorders>
              <w:left w:val="single" w:sz="4" w:space="0" w:color="DA002F"/>
              <w:right w:val="single" w:sz="4" w:space="0" w:color="DA002F"/>
            </w:tcBorders>
          </w:tcPr>
          <w:p w14:paraId="56B038DE" w14:textId="77777777" w:rsidR="00EC542A" w:rsidRPr="00AE4C89" w:rsidRDefault="00EC542A" w:rsidP="00EC542A">
            <w:pPr>
              <w:rPr>
                <w:sz w:val="18"/>
                <w:szCs w:val="18"/>
                <w:lang w:val="nl-BE"/>
              </w:rPr>
            </w:pPr>
            <w:r w:rsidRPr="00AE4C89">
              <w:rPr>
                <w:sz w:val="18"/>
                <w:szCs w:val="18"/>
              </w:rPr>
              <w:t>83%</w:t>
            </w:r>
          </w:p>
        </w:tc>
        <w:tc>
          <w:tcPr>
            <w:tcW w:w="1276" w:type="dxa"/>
            <w:tcBorders>
              <w:left w:val="single" w:sz="4" w:space="0" w:color="DA002F"/>
            </w:tcBorders>
          </w:tcPr>
          <w:p w14:paraId="418289BF" w14:textId="77777777" w:rsidR="00EC542A" w:rsidRPr="00AE4C89" w:rsidRDefault="00EC542A" w:rsidP="00EC542A">
            <w:pPr>
              <w:rPr>
                <w:sz w:val="18"/>
                <w:szCs w:val="18"/>
                <w:lang w:val="nl-BE"/>
              </w:rPr>
            </w:pPr>
            <w:r w:rsidRPr="00AE4C89">
              <w:rPr>
                <w:sz w:val="18"/>
                <w:szCs w:val="18"/>
              </w:rPr>
              <w:t>67%</w:t>
            </w:r>
          </w:p>
        </w:tc>
        <w:tc>
          <w:tcPr>
            <w:tcW w:w="1371" w:type="dxa"/>
            <w:tcBorders>
              <w:left w:val="single" w:sz="4" w:space="0" w:color="DA002F"/>
            </w:tcBorders>
          </w:tcPr>
          <w:p w14:paraId="47EB29D8" w14:textId="77777777" w:rsidR="00EC542A" w:rsidRPr="00AE4C89" w:rsidRDefault="00EC542A" w:rsidP="00EC542A">
            <w:pPr>
              <w:rPr>
                <w:sz w:val="18"/>
                <w:szCs w:val="18"/>
                <w:lang w:val="nl-BE"/>
              </w:rPr>
            </w:pPr>
            <w:r w:rsidRPr="00AE4C89">
              <w:rPr>
                <w:sz w:val="18"/>
                <w:szCs w:val="18"/>
              </w:rPr>
              <w:t>17%</w:t>
            </w:r>
          </w:p>
        </w:tc>
      </w:tr>
      <w:tr w:rsidR="00EC542A" w:rsidRPr="00AE4C89" w14:paraId="6AF3ADE4" w14:textId="77777777" w:rsidTr="00AE4C89">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5EEEB827" w14:textId="40066D55" w:rsidR="00EC542A" w:rsidRPr="00AE4C89" w:rsidRDefault="00AE4C89" w:rsidP="00EC542A">
            <w:pPr>
              <w:jc w:val="left"/>
              <w:rPr>
                <w:sz w:val="18"/>
                <w:szCs w:val="18"/>
                <w:lang w:val="nl-BE"/>
              </w:rPr>
            </w:pPr>
            <w:proofErr w:type="spellStart"/>
            <w:r w:rsidRPr="00AE4C89">
              <w:rPr>
                <w:sz w:val="18"/>
                <w:szCs w:val="18"/>
                <w:lang w:val="nl-BE"/>
              </w:rPr>
              <w:t>Antidouleurs</w:t>
            </w:r>
            <w:proofErr w:type="spellEnd"/>
            <w:r w:rsidRPr="00AE4C89">
              <w:rPr>
                <w:sz w:val="18"/>
                <w:szCs w:val="18"/>
                <w:lang w:val="nl-BE"/>
              </w:rPr>
              <w:t xml:space="preserve"> </w:t>
            </w:r>
          </w:p>
        </w:tc>
        <w:tc>
          <w:tcPr>
            <w:tcW w:w="1418" w:type="dxa"/>
            <w:tcBorders>
              <w:left w:val="single" w:sz="4" w:space="0" w:color="DA002F"/>
              <w:right w:val="single" w:sz="4" w:space="0" w:color="DA002F"/>
            </w:tcBorders>
          </w:tcPr>
          <w:p w14:paraId="071B8B96" w14:textId="77777777" w:rsidR="00EC542A" w:rsidRPr="00AE4C89" w:rsidRDefault="00EC542A" w:rsidP="00EC542A">
            <w:pPr>
              <w:rPr>
                <w:sz w:val="18"/>
                <w:szCs w:val="18"/>
                <w:lang w:val="nl-BE"/>
              </w:rPr>
            </w:pPr>
            <w:r w:rsidRPr="00AE4C89">
              <w:rPr>
                <w:sz w:val="18"/>
                <w:szCs w:val="18"/>
              </w:rPr>
              <w:t>205</w:t>
            </w:r>
          </w:p>
        </w:tc>
        <w:tc>
          <w:tcPr>
            <w:tcW w:w="1417" w:type="dxa"/>
            <w:tcBorders>
              <w:left w:val="single" w:sz="4" w:space="0" w:color="DA002F"/>
              <w:right w:val="single" w:sz="4" w:space="0" w:color="DA002F"/>
            </w:tcBorders>
          </w:tcPr>
          <w:p w14:paraId="46C69DAF" w14:textId="77777777" w:rsidR="00EC542A" w:rsidRPr="00AE4C89" w:rsidRDefault="00EC542A" w:rsidP="00EC542A">
            <w:pPr>
              <w:rPr>
                <w:sz w:val="18"/>
                <w:szCs w:val="18"/>
                <w:lang w:val="nl-BE"/>
              </w:rPr>
            </w:pPr>
            <w:r w:rsidRPr="00AE4C89">
              <w:rPr>
                <w:sz w:val="18"/>
                <w:szCs w:val="18"/>
              </w:rPr>
              <w:t>191</w:t>
            </w:r>
          </w:p>
        </w:tc>
        <w:tc>
          <w:tcPr>
            <w:tcW w:w="1276" w:type="dxa"/>
            <w:tcBorders>
              <w:left w:val="single" w:sz="4" w:space="0" w:color="DA002F"/>
              <w:right w:val="single" w:sz="4" w:space="0" w:color="DA002F"/>
            </w:tcBorders>
          </w:tcPr>
          <w:p w14:paraId="4C9C1226" w14:textId="77777777" w:rsidR="00EC542A" w:rsidRPr="00AE4C89" w:rsidRDefault="00EC542A" w:rsidP="00EC542A">
            <w:pPr>
              <w:rPr>
                <w:sz w:val="18"/>
                <w:szCs w:val="18"/>
                <w:lang w:val="nl-BE"/>
              </w:rPr>
            </w:pPr>
            <w:r w:rsidRPr="00AE4C89">
              <w:rPr>
                <w:sz w:val="18"/>
                <w:szCs w:val="18"/>
              </w:rPr>
              <w:t>39%</w:t>
            </w:r>
          </w:p>
        </w:tc>
        <w:tc>
          <w:tcPr>
            <w:tcW w:w="1276" w:type="dxa"/>
            <w:tcBorders>
              <w:left w:val="single" w:sz="4" w:space="0" w:color="DA002F"/>
            </w:tcBorders>
          </w:tcPr>
          <w:p w14:paraId="1A7111E6" w14:textId="77777777" w:rsidR="00EC542A" w:rsidRPr="00AE4C89" w:rsidRDefault="00EC542A" w:rsidP="00EC542A">
            <w:pPr>
              <w:rPr>
                <w:sz w:val="18"/>
                <w:szCs w:val="18"/>
                <w:lang w:val="nl-BE"/>
              </w:rPr>
            </w:pPr>
            <w:r w:rsidRPr="00AE4C89">
              <w:rPr>
                <w:sz w:val="18"/>
                <w:szCs w:val="18"/>
              </w:rPr>
              <w:t>38%</w:t>
            </w:r>
          </w:p>
        </w:tc>
        <w:tc>
          <w:tcPr>
            <w:tcW w:w="1371" w:type="dxa"/>
            <w:tcBorders>
              <w:left w:val="single" w:sz="4" w:space="0" w:color="DA002F"/>
            </w:tcBorders>
          </w:tcPr>
          <w:p w14:paraId="7EC87313" w14:textId="77777777" w:rsidR="00EC542A" w:rsidRPr="00AE4C89" w:rsidRDefault="00EC542A" w:rsidP="00EC542A">
            <w:pPr>
              <w:rPr>
                <w:sz w:val="18"/>
                <w:szCs w:val="18"/>
                <w:lang w:val="nl-BE"/>
              </w:rPr>
            </w:pPr>
            <w:r w:rsidRPr="00AE4C89">
              <w:rPr>
                <w:sz w:val="18"/>
                <w:szCs w:val="18"/>
              </w:rPr>
              <w:t>61%</w:t>
            </w:r>
          </w:p>
        </w:tc>
      </w:tr>
      <w:tr w:rsidR="00EC542A" w:rsidRPr="00AE4C89" w14:paraId="6593F188" w14:textId="77777777" w:rsidTr="00AE4C89">
        <w:trPr>
          <w:trHeight w:val="340"/>
        </w:trPr>
        <w:tc>
          <w:tcPr>
            <w:tcW w:w="2268" w:type="dxa"/>
            <w:tcBorders>
              <w:right w:val="single" w:sz="4" w:space="0" w:color="DA002F"/>
            </w:tcBorders>
          </w:tcPr>
          <w:p w14:paraId="2162E5C3" w14:textId="77777777" w:rsidR="00EC542A" w:rsidRPr="00AE4C89" w:rsidRDefault="00EC542A" w:rsidP="00EC542A">
            <w:pPr>
              <w:jc w:val="left"/>
              <w:rPr>
                <w:sz w:val="18"/>
                <w:szCs w:val="18"/>
                <w:lang w:val="nl-BE"/>
              </w:rPr>
            </w:pPr>
            <w:r w:rsidRPr="00AE4C89">
              <w:rPr>
                <w:sz w:val="18"/>
                <w:szCs w:val="18"/>
              </w:rPr>
              <w:t>Antipsychotiques</w:t>
            </w:r>
          </w:p>
        </w:tc>
        <w:tc>
          <w:tcPr>
            <w:tcW w:w="1418" w:type="dxa"/>
            <w:tcBorders>
              <w:left w:val="single" w:sz="4" w:space="0" w:color="DA002F"/>
              <w:right w:val="single" w:sz="4" w:space="0" w:color="DA002F"/>
            </w:tcBorders>
          </w:tcPr>
          <w:p w14:paraId="6A152CE6" w14:textId="77777777" w:rsidR="00EC542A" w:rsidRPr="00AE4C89" w:rsidRDefault="00EC542A" w:rsidP="00EC542A">
            <w:pPr>
              <w:rPr>
                <w:sz w:val="18"/>
                <w:szCs w:val="18"/>
                <w:lang w:val="nl-BE"/>
              </w:rPr>
            </w:pPr>
            <w:r w:rsidRPr="00AE4C89">
              <w:rPr>
                <w:sz w:val="18"/>
                <w:szCs w:val="18"/>
              </w:rPr>
              <w:t>162</w:t>
            </w:r>
          </w:p>
        </w:tc>
        <w:tc>
          <w:tcPr>
            <w:tcW w:w="1417" w:type="dxa"/>
            <w:tcBorders>
              <w:left w:val="single" w:sz="4" w:space="0" w:color="DA002F"/>
              <w:right w:val="single" w:sz="4" w:space="0" w:color="DA002F"/>
            </w:tcBorders>
          </w:tcPr>
          <w:p w14:paraId="49686333" w14:textId="77777777" w:rsidR="00EC542A" w:rsidRPr="00AE4C89" w:rsidRDefault="00EC542A" w:rsidP="00EC542A">
            <w:pPr>
              <w:rPr>
                <w:sz w:val="18"/>
                <w:szCs w:val="18"/>
                <w:lang w:val="nl-BE"/>
              </w:rPr>
            </w:pPr>
            <w:r w:rsidRPr="00AE4C89">
              <w:rPr>
                <w:sz w:val="18"/>
                <w:szCs w:val="18"/>
              </w:rPr>
              <w:t>215</w:t>
            </w:r>
          </w:p>
        </w:tc>
        <w:tc>
          <w:tcPr>
            <w:tcW w:w="1276" w:type="dxa"/>
            <w:tcBorders>
              <w:left w:val="single" w:sz="4" w:space="0" w:color="DA002F"/>
              <w:right w:val="single" w:sz="4" w:space="0" w:color="DA002F"/>
            </w:tcBorders>
          </w:tcPr>
          <w:p w14:paraId="44B267BB" w14:textId="77777777" w:rsidR="00EC542A" w:rsidRPr="00AE4C89" w:rsidRDefault="00EC542A" w:rsidP="00EC542A">
            <w:pPr>
              <w:rPr>
                <w:sz w:val="18"/>
                <w:szCs w:val="18"/>
                <w:lang w:val="nl-BE"/>
              </w:rPr>
            </w:pPr>
            <w:r w:rsidRPr="00AE4C89">
              <w:rPr>
                <w:sz w:val="18"/>
                <w:szCs w:val="18"/>
              </w:rPr>
              <w:t>43%</w:t>
            </w:r>
          </w:p>
        </w:tc>
        <w:tc>
          <w:tcPr>
            <w:tcW w:w="1276" w:type="dxa"/>
            <w:tcBorders>
              <w:left w:val="single" w:sz="4" w:space="0" w:color="DA002F"/>
            </w:tcBorders>
          </w:tcPr>
          <w:p w14:paraId="0B42405C" w14:textId="77777777" w:rsidR="00EC542A" w:rsidRPr="00AE4C89" w:rsidRDefault="00EC542A" w:rsidP="00EC542A">
            <w:pPr>
              <w:rPr>
                <w:sz w:val="18"/>
                <w:szCs w:val="18"/>
                <w:lang w:val="nl-BE"/>
              </w:rPr>
            </w:pPr>
            <w:r w:rsidRPr="00AE4C89">
              <w:rPr>
                <w:sz w:val="18"/>
                <w:szCs w:val="18"/>
              </w:rPr>
              <w:t>50%</w:t>
            </w:r>
          </w:p>
        </w:tc>
        <w:tc>
          <w:tcPr>
            <w:tcW w:w="1371" w:type="dxa"/>
            <w:tcBorders>
              <w:left w:val="single" w:sz="4" w:space="0" w:color="DA002F"/>
            </w:tcBorders>
          </w:tcPr>
          <w:p w14:paraId="07ABD195" w14:textId="77777777" w:rsidR="00EC542A" w:rsidRPr="00AE4C89" w:rsidRDefault="00EC542A" w:rsidP="00EC542A">
            <w:pPr>
              <w:rPr>
                <w:sz w:val="18"/>
                <w:szCs w:val="18"/>
                <w:lang w:val="nl-BE"/>
              </w:rPr>
            </w:pPr>
            <w:r w:rsidRPr="00AE4C89">
              <w:rPr>
                <w:sz w:val="18"/>
                <w:szCs w:val="18"/>
              </w:rPr>
              <w:t>57%</w:t>
            </w:r>
          </w:p>
        </w:tc>
      </w:tr>
      <w:tr w:rsidR="00EC542A" w:rsidRPr="00AE4C89" w14:paraId="728F4124" w14:textId="77777777" w:rsidTr="00AE4C89">
        <w:trPr>
          <w:cnfStyle w:val="000000100000" w:firstRow="0" w:lastRow="0" w:firstColumn="0" w:lastColumn="0" w:oddVBand="0" w:evenVBand="0" w:oddHBand="1" w:evenHBand="0" w:firstRowFirstColumn="0" w:firstRowLastColumn="0" w:lastRowFirstColumn="0" w:lastRowLastColumn="0"/>
          <w:trHeight w:val="340"/>
        </w:trPr>
        <w:tc>
          <w:tcPr>
            <w:tcW w:w="2268" w:type="dxa"/>
            <w:tcBorders>
              <w:right w:val="single" w:sz="4" w:space="0" w:color="DA002F"/>
            </w:tcBorders>
          </w:tcPr>
          <w:p w14:paraId="77A5D548" w14:textId="77777777" w:rsidR="00EC542A" w:rsidRPr="00AE4C89" w:rsidRDefault="00EC542A" w:rsidP="00EC542A">
            <w:pPr>
              <w:jc w:val="left"/>
              <w:rPr>
                <w:sz w:val="18"/>
                <w:szCs w:val="18"/>
                <w:lang w:val="nl-BE"/>
              </w:rPr>
            </w:pPr>
            <w:r w:rsidRPr="00AE4C89">
              <w:rPr>
                <w:sz w:val="18"/>
                <w:szCs w:val="18"/>
              </w:rPr>
              <w:t>Antidiabétiques</w:t>
            </w:r>
          </w:p>
        </w:tc>
        <w:tc>
          <w:tcPr>
            <w:tcW w:w="1418" w:type="dxa"/>
            <w:tcBorders>
              <w:left w:val="single" w:sz="4" w:space="0" w:color="DA002F"/>
              <w:right w:val="single" w:sz="4" w:space="0" w:color="DA002F"/>
            </w:tcBorders>
          </w:tcPr>
          <w:p w14:paraId="2FF4140F" w14:textId="77777777" w:rsidR="00EC542A" w:rsidRPr="00AE4C89" w:rsidRDefault="00EC542A" w:rsidP="00EC542A">
            <w:pPr>
              <w:rPr>
                <w:sz w:val="18"/>
                <w:szCs w:val="18"/>
                <w:lang w:val="nl-BE"/>
              </w:rPr>
            </w:pPr>
            <w:r w:rsidRPr="00AE4C89">
              <w:rPr>
                <w:sz w:val="18"/>
                <w:szCs w:val="18"/>
              </w:rPr>
              <w:t>142</w:t>
            </w:r>
          </w:p>
        </w:tc>
        <w:tc>
          <w:tcPr>
            <w:tcW w:w="1417" w:type="dxa"/>
            <w:tcBorders>
              <w:left w:val="single" w:sz="4" w:space="0" w:color="DA002F"/>
              <w:right w:val="single" w:sz="4" w:space="0" w:color="DA002F"/>
            </w:tcBorders>
          </w:tcPr>
          <w:p w14:paraId="41B24250" w14:textId="77777777" w:rsidR="00EC542A" w:rsidRPr="00AE4C89" w:rsidRDefault="00EC542A" w:rsidP="00EC542A">
            <w:pPr>
              <w:rPr>
                <w:sz w:val="18"/>
                <w:szCs w:val="18"/>
                <w:lang w:val="nl-BE"/>
              </w:rPr>
            </w:pPr>
            <w:r w:rsidRPr="00AE4C89">
              <w:rPr>
                <w:sz w:val="18"/>
                <w:szCs w:val="18"/>
              </w:rPr>
              <w:t>37</w:t>
            </w:r>
          </w:p>
        </w:tc>
        <w:tc>
          <w:tcPr>
            <w:tcW w:w="1276" w:type="dxa"/>
            <w:tcBorders>
              <w:left w:val="single" w:sz="4" w:space="0" w:color="DA002F"/>
              <w:right w:val="single" w:sz="4" w:space="0" w:color="DA002F"/>
            </w:tcBorders>
          </w:tcPr>
          <w:p w14:paraId="6EA6E01C" w14:textId="77777777" w:rsidR="00EC542A" w:rsidRPr="00AE4C89" w:rsidRDefault="00EC542A" w:rsidP="00EC542A">
            <w:pPr>
              <w:rPr>
                <w:sz w:val="18"/>
                <w:szCs w:val="18"/>
                <w:lang w:val="nl-BE"/>
              </w:rPr>
            </w:pPr>
            <w:r w:rsidRPr="00AE4C89">
              <w:rPr>
                <w:sz w:val="18"/>
                <w:szCs w:val="18"/>
              </w:rPr>
              <w:t>19%</w:t>
            </w:r>
          </w:p>
        </w:tc>
        <w:tc>
          <w:tcPr>
            <w:tcW w:w="1276" w:type="dxa"/>
            <w:tcBorders>
              <w:left w:val="single" w:sz="4" w:space="0" w:color="DA002F"/>
            </w:tcBorders>
          </w:tcPr>
          <w:p w14:paraId="12F08557" w14:textId="77777777" w:rsidR="00EC542A" w:rsidRPr="00AE4C89" w:rsidRDefault="00EC542A" w:rsidP="00EC542A">
            <w:pPr>
              <w:rPr>
                <w:sz w:val="18"/>
                <w:szCs w:val="18"/>
                <w:lang w:val="nl-BE"/>
              </w:rPr>
            </w:pPr>
            <w:r w:rsidRPr="00AE4C89">
              <w:rPr>
                <w:sz w:val="18"/>
                <w:szCs w:val="18"/>
              </w:rPr>
              <w:t>6%</w:t>
            </w:r>
          </w:p>
        </w:tc>
        <w:tc>
          <w:tcPr>
            <w:tcW w:w="1371" w:type="dxa"/>
            <w:tcBorders>
              <w:left w:val="single" w:sz="4" w:space="0" w:color="DA002F"/>
            </w:tcBorders>
          </w:tcPr>
          <w:p w14:paraId="30381520" w14:textId="77777777" w:rsidR="00EC542A" w:rsidRPr="00AE4C89" w:rsidRDefault="00EC542A" w:rsidP="00EC542A">
            <w:pPr>
              <w:rPr>
                <w:sz w:val="18"/>
                <w:szCs w:val="18"/>
                <w:lang w:val="nl-BE"/>
              </w:rPr>
            </w:pPr>
            <w:r w:rsidRPr="00AE4C89">
              <w:rPr>
                <w:sz w:val="18"/>
                <w:szCs w:val="18"/>
              </w:rPr>
              <w:t>81%</w:t>
            </w:r>
          </w:p>
        </w:tc>
      </w:tr>
      <w:tr w:rsidR="00EC542A" w:rsidRPr="00AE4C89" w14:paraId="3E9DD2E7" w14:textId="77777777" w:rsidTr="00AE4C89">
        <w:trPr>
          <w:cnfStyle w:val="010000000000" w:firstRow="0" w:lastRow="1" w:firstColumn="0" w:lastColumn="0" w:oddVBand="0" w:evenVBand="0" w:oddHBand="0" w:evenHBand="0" w:firstRowFirstColumn="0" w:firstRowLastColumn="0" w:lastRowFirstColumn="0" w:lastRowLastColumn="0"/>
        </w:trPr>
        <w:tc>
          <w:tcPr>
            <w:tcW w:w="2268" w:type="dxa"/>
          </w:tcPr>
          <w:p w14:paraId="7CC2FE15" w14:textId="77777777" w:rsidR="00EC542A" w:rsidRPr="00AE4C89" w:rsidRDefault="00EC542A" w:rsidP="00EC542A">
            <w:pPr>
              <w:rPr>
                <w:sz w:val="18"/>
                <w:szCs w:val="18"/>
              </w:rPr>
            </w:pPr>
          </w:p>
        </w:tc>
        <w:tc>
          <w:tcPr>
            <w:tcW w:w="1418" w:type="dxa"/>
          </w:tcPr>
          <w:p w14:paraId="5F9A5D25" w14:textId="77777777" w:rsidR="00EC542A" w:rsidRPr="00AE4C89" w:rsidRDefault="00EC542A" w:rsidP="00EC542A">
            <w:pPr>
              <w:rPr>
                <w:sz w:val="18"/>
                <w:szCs w:val="18"/>
              </w:rPr>
            </w:pPr>
          </w:p>
        </w:tc>
        <w:tc>
          <w:tcPr>
            <w:tcW w:w="1417" w:type="dxa"/>
          </w:tcPr>
          <w:p w14:paraId="3FF43579" w14:textId="77777777" w:rsidR="00EC542A" w:rsidRPr="00AE4C89" w:rsidRDefault="00EC542A" w:rsidP="00EC542A">
            <w:pPr>
              <w:rPr>
                <w:sz w:val="18"/>
                <w:szCs w:val="18"/>
              </w:rPr>
            </w:pPr>
          </w:p>
        </w:tc>
        <w:tc>
          <w:tcPr>
            <w:tcW w:w="1276" w:type="dxa"/>
          </w:tcPr>
          <w:p w14:paraId="16B4456A" w14:textId="77777777" w:rsidR="00EC542A" w:rsidRPr="00AE4C89" w:rsidRDefault="00EC542A" w:rsidP="00EC542A">
            <w:pPr>
              <w:rPr>
                <w:sz w:val="18"/>
                <w:szCs w:val="18"/>
              </w:rPr>
            </w:pPr>
          </w:p>
        </w:tc>
        <w:tc>
          <w:tcPr>
            <w:tcW w:w="1276" w:type="dxa"/>
          </w:tcPr>
          <w:p w14:paraId="1CD7C0E9" w14:textId="77777777" w:rsidR="00EC542A" w:rsidRPr="00AE4C89" w:rsidRDefault="00EC542A" w:rsidP="00EC542A">
            <w:pPr>
              <w:rPr>
                <w:sz w:val="18"/>
                <w:szCs w:val="18"/>
              </w:rPr>
            </w:pPr>
          </w:p>
        </w:tc>
        <w:tc>
          <w:tcPr>
            <w:tcW w:w="1371" w:type="dxa"/>
          </w:tcPr>
          <w:p w14:paraId="1C107679" w14:textId="77777777" w:rsidR="00EC542A" w:rsidRPr="00AE4C89" w:rsidRDefault="00EC542A" w:rsidP="00EC542A">
            <w:pPr>
              <w:rPr>
                <w:sz w:val="18"/>
                <w:szCs w:val="18"/>
              </w:rPr>
            </w:pPr>
          </w:p>
        </w:tc>
      </w:tr>
    </w:tbl>
    <w:p w14:paraId="47B0C4AE" w14:textId="156127FA" w:rsidR="00EC542A" w:rsidRPr="006C770E" w:rsidRDefault="00EC542A" w:rsidP="00EC542A">
      <w:pPr>
        <w:spacing w:after="0" w:line="240" w:lineRule="auto"/>
        <w:jc w:val="both"/>
        <w:rPr>
          <w:sz w:val="18"/>
          <w:szCs w:val="18"/>
          <w:lang w:val="fr-BE"/>
        </w:rPr>
      </w:pPr>
      <w:r w:rsidRPr="006C770E">
        <w:rPr>
          <w:sz w:val="18"/>
          <w:szCs w:val="18"/>
          <w:lang w:val="fr-BE"/>
        </w:rPr>
        <w:t xml:space="preserve">* Le dénominateur est le nombre de personnes ayant un traitement </w:t>
      </w:r>
      <w:r w:rsidR="006C770E">
        <w:rPr>
          <w:sz w:val="18"/>
          <w:szCs w:val="18"/>
          <w:lang w:val="fr-BE"/>
        </w:rPr>
        <w:t>avant</w:t>
      </w:r>
      <w:r w:rsidRPr="006C770E">
        <w:rPr>
          <w:sz w:val="18"/>
          <w:szCs w:val="18"/>
          <w:lang w:val="fr-BE"/>
        </w:rPr>
        <w:t xml:space="preserve"> l</w:t>
      </w:r>
      <w:r w:rsidR="006C770E">
        <w:rPr>
          <w:sz w:val="18"/>
          <w:szCs w:val="18"/>
          <w:lang w:val="fr-BE"/>
        </w:rPr>
        <w:t>’entrée en maison de repos</w:t>
      </w:r>
      <w:r w:rsidRPr="006C770E">
        <w:rPr>
          <w:sz w:val="18"/>
          <w:szCs w:val="18"/>
          <w:lang w:val="fr-BE"/>
        </w:rPr>
        <w:t xml:space="preserve"> (voir </w:t>
      </w:r>
      <w:r w:rsidR="006C770E">
        <w:rPr>
          <w:sz w:val="18"/>
          <w:szCs w:val="18"/>
          <w:lang w:val="fr-BE"/>
        </w:rPr>
        <w:t>T</w:t>
      </w:r>
      <w:r w:rsidRPr="006C770E">
        <w:rPr>
          <w:sz w:val="18"/>
          <w:szCs w:val="18"/>
          <w:lang w:val="fr-BE"/>
        </w:rPr>
        <w:t>ableau 7).</w:t>
      </w:r>
    </w:p>
    <w:p w14:paraId="63761C1A" w14:textId="101D3809" w:rsidR="00EC542A" w:rsidRPr="006C770E" w:rsidRDefault="00EC542A" w:rsidP="00EC542A">
      <w:pPr>
        <w:spacing w:after="0" w:line="240" w:lineRule="auto"/>
        <w:jc w:val="both"/>
        <w:rPr>
          <w:sz w:val="18"/>
          <w:szCs w:val="18"/>
          <w:lang w:val="fr-BE"/>
        </w:rPr>
      </w:pPr>
      <w:r w:rsidRPr="006C770E">
        <w:rPr>
          <w:sz w:val="18"/>
          <w:szCs w:val="18"/>
          <w:lang w:val="fr-BE"/>
        </w:rPr>
        <w:t xml:space="preserve">** Le dénominateur est le nombre de personnes ayant un traitement après </w:t>
      </w:r>
      <w:r w:rsidR="006C770E">
        <w:rPr>
          <w:sz w:val="18"/>
          <w:szCs w:val="18"/>
          <w:lang w:val="fr-BE"/>
        </w:rPr>
        <w:t>l’entrée en maison de repos (voir T</w:t>
      </w:r>
      <w:r w:rsidRPr="006C770E">
        <w:rPr>
          <w:sz w:val="18"/>
          <w:szCs w:val="18"/>
          <w:lang w:val="fr-BE"/>
        </w:rPr>
        <w:t>ableau 7).</w:t>
      </w:r>
    </w:p>
    <w:p w14:paraId="452109EE" w14:textId="77777777" w:rsidR="00EC542A" w:rsidRPr="00EC542A" w:rsidRDefault="00EC542A" w:rsidP="00EC542A">
      <w:pPr>
        <w:jc w:val="both"/>
        <w:rPr>
          <w:lang w:val="fr-BE"/>
        </w:rPr>
      </w:pPr>
      <w:r w:rsidRPr="00EC542A">
        <w:rPr>
          <w:lang w:val="fr-BE"/>
        </w:rPr>
        <w:t>Source : Solidaris</w:t>
      </w:r>
    </w:p>
    <w:p w14:paraId="1F86CC4D" w14:textId="77777777" w:rsidR="00EC542A" w:rsidRPr="00EC542A" w:rsidRDefault="00EC542A" w:rsidP="00EC542A">
      <w:pPr>
        <w:spacing w:line="240" w:lineRule="auto"/>
        <w:rPr>
          <w:lang w:val="fr-BE"/>
        </w:rPr>
      </w:pPr>
    </w:p>
    <w:p w14:paraId="0EE5FA0D" w14:textId="77777777" w:rsidR="009C1001" w:rsidRDefault="009C1001" w:rsidP="0052051F">
      <w:pPr>
        <w:jc w:val="both"/>
        <w:rPr>
          <w:rStyle w:val="Accentuation"/>
          <w:lang w:val="fr-BE"/>
        </w:rPr>
      </w:pPr>
      <w:r>
        <w:rPr>
          <w:rStyle w:val="Accentuation"/>
          <w:lang w:val="fr-BE"/>
        </w:rPr>
        <w:br w:type="page"/>
      </w:r>
    </w:p>
    <w:p w14:paraId="11585B7A" w14:textId="177C195E" w:rsidR="00EC542A" w:rsidRPr="007D60F6" w:rsidRDefault="00EC542A" w:rsidP="007D60F6">
      <w:pPr>
        <w:pStyle w:val="Figure"/>
      </w:pPr>
      <w:bookmarkStart w:id="22" w:name="_Toc130195838"/>
      <w:r w:rsidRPr="007D60F6">
        <w:lastRenderedPageBreak/>
        <w:t xml:space="preserve">Figure 2 : </w:t>
      </w:r>
      <w:r w:rsidR="0052051F" w:rsidRPr="007D60F6">
        <w:t>Affiliés (en %) sous traitement avant et après l’entrée en maison de repos par type de médicament, 2020-2021</w:t>
      </w:r>
      <w:bookmarkEnd w:id="22"/>
    </w:p>
    <w:p w14:paraId="05B9FEF6" w14:textId="5DD35E72" w:rsidR="00EC542A" w:rsidRPr="006C70C5" w:rsidRDefault="006F163D" w:rsidP="00EC542A">
      <w:pPr>
        <w:rPr>
          <w:i/>
          <w:iCs/>
        </w:rPr>
      </w:pPr>
      <w:r w:rsidRPr="006F163D">
        <w:rPr>
          <w:noProof/>
          <w:sz w:val="18"/>
          <w:szCs w:val="18"/>
          <w:lang w:val="fr-BE" w:eastAsia="fr-BE"/>
        </w:rPr>
        <w:drawing>
          <wp:inline distT="0" distB="0" distL="0" distR="0" wp14:anchorId="10DB1AE0" wp14:editId="6F5E2A9A">
            <wp:extent cx="5619750" cy="5105400"/>
            <wp:effectExtent l="0" t="0" r="0" b="0"/>
            <wp:docPr id="15" name="Graphique 15">
              <a:extLst xmlns:a="http://schemas.openxmlformats.org/drawingml/2006/main">
                <a:ext uri="{FF2B5EF4-FFF2-40B4-BE49-F238E27FC236}">
                  <a16:creationId xmlns:a16="http://schemas.microsoft.com/office/drawing/2014/main" id="{7B755114-265F-4CF4-AEE8-B198FFB60E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76DA37" w14:textId="7EBD9E8B" w:rsidR="00EC542A" w:rsidRPr="005921F1" w:rsidRDefault="00EC542A" w:rsidP="00EC542A">
      <w:pPr>
        <w:spacing w:after="0" w:line="240" w:lineRule="auto"/>
        <w:jc w:val="both"/>
        <w:rPr>
          <w:sz w:val="18"/>
          <w:szCs w:val="18"/>
          <w:lang w:val="fr-BE"/>
        </w:rPr>
      </w:pPr>
      <w:r w:rsidRPr="005921F1">
        <w:rPr>
          <w:sz w:val="18"/>
          <w:szCs w:val="18"/>
          <w:lang w:val="fr-BE"/>
        </w:rPr>
        <w:t xml:space="preserve">* Le dénominateur dans chaque cas est le nombre </w:t>
      </w:r>
      <w:r w:rsidR="005921F1">
        <w:rPr>
          <w:sz w:val="18"/>
          <w:szCs w:val="18"/>
          <w:lang w:val="fr-BE"/>
        </w:rPr>
        <w:t>d’affiliés entrés en maison de repos au cours du 1</w:t>
      </w:r>
      <w:r w:rsidR="005921F1" w:rsidRPr="005921F1">
        <w:rPr>
          <w:sz w:val="18"/>
          <w:szCs w:val="18"/>
          <w:vertAlign w:val="superscript"/>
          <w:lang w:val="fr-BE"/>
        </w:rPr>
        <w:t>er</w:t>
      </w:r>
      <w:r w:rsidR="005921F1">
        <w:rPr>
          <w:sz w:val="18"/>
          <w:szCs w:val="18"/>
          <w:lang w:val="fr-BE"/>
        </w:rPr>
        <w:t xml:space="preserve"> semestre 2021</w:t>
      </w:r>
      <w:r w:rsidRPr="005921F1">
        <w:rPr>
          <w:sz w:val="18"/>
          <w:szCs w:val="18"/>
          <w:lang w:val="fr-BE"/>
        </w:rPr>
        <w:t xml:space="preserve"> (N=3</w:t>
      </w:r>
      <w:r w:rsidR="005921F1">
        <w:rPr>
          <w:sz w:val="18"/>
          <w:szCs w:val="18"/>
          <w:lang w:val="fr-BE"/>
        </w:rPr>
        <w:t>.</w:t>
      </w:r>
      <w:r w:rsidRPr="005921F1">
        <w:rPr>
          <w:sz w:val="18"/>
          <w:szCs w:val="18"/>
          <w:lang w:val="fr-BE"/>
        </w:rPr>
        <w:t>747).</w:t>
      </w:r>
    </w:p>
    <w:p w14:paraId="299E4853" w14:textId="2C7A26AC" w:rsidR="00EC542A" w:rsidRDefault="00EC542A" w:rsidP="000C01C2">
      <w:pPr>
        <w:tabs>
          <w:tab w:val="left" w:pos="7740"/>
        </w:tabs>
        <w:jc w:val="both"/>
      </w:pPr>
      <w:r>
        <w:t>Source : Solidaris</w:t>
      </w:r>
      <w:r w:rsidR="000C01C2">
        <w:tab/>
      </w:r>
    </w:p>
    <w:p w14:paraId="6A0FBADE" w14:textId="1FB7DC7C" w:rsidR="009C1001" w:rsidRDefault="009C1001" w:rsidP="002D5E93">
      <w:pPr>
        <w:rPr>
          <w:lang w:val="fr-BE"/>
        </w:rPr>
      </w:pPr>
      <w:r>
        <w:rPr>
          <w:lang w:val="fr-BE"/>
        </w:rPr>
        <w:br w:type="page"/>
      </w:r>
    </w:p>
    <w:p w14:paraId="69D7D895" w14:textId="722913E3" w:rsidR="00025A72" w:rsidRPr="00365CC3" w:rsidRDefault="00025A72" w:rsidP="00025A72">
      <w:pPr>
        <w:pStyle w:val="Titre1"/>
        <w:rPr>
          <w:lang w:val="fr-BE"/>
        </w:rPr>
      </w:pPr>
      <w:bookmarkStart w:id="23" w:name="_Toc130195928"/>
      <w:r w:rsidRPr="00365CC3">
        <w:rPr>
          <w:lang w:val="fr-BE"/>
        </w:rPr>
        <w:lastRenderedPageBreak/>
        <w:t>Conclusi</w:t>
      </w:r>
      <w:r w:rsidR="00507868">
        <w:rPr>
          <w:lang w:val="fr-BE"/>
        </w:rPr>
        <w:t>on</w:t>
      </w:r>
      <w:bookmarkEnd w:id="23"/>
    </w:p>
    <w:p w14:paraId="39DD6174" w14:textId="7CF07947" w:rsidR="00025A72" w:rsidRPr="00365CC3" w:rsidRDefault="00025A72" w:rsidP="00224CD6">
      <w:pPr>
        <w:spacing w:after="0"/>
        <w:jc w:val="both"/>
        <w:rPr>
          <w:lang w:val="fr-BE"/>
        </w:rPr>
      </w:pPr>
    </w:p>
    <w:p w14:paraId="07D90ABE" w14:textId="3E269BAD" w:rsidR="00224CD6" w:rsidRPr="00224CD6" w:rsidRDefault="00224CD6" w:rsidP="00224CD6">
      <w:pPr>
        <w:spacing w:after="0"/>
        <w:jc w:val="both"/>
        <w:rPr>
          <w:lang w:val="fr-BE"/>
        </w:rPr>
      </w:pPr>
      <w:r>
        <w:rPr>
          <w:lang w:val="fr-BE"/>
        </w:rPr>
        <w:t>Si p</w:t>
      </w:r>
      <w:r w:rsidRPr="00224CD6">
        <w:rPr>
          <w:lang w:val="fr-BE"/>
        </w:rPr>
        <w:t>lusieurs études se sont penchées sur la question de la consommation de médicaments en maison de repos</w:t>
      </w:r>
      <w:r>
        <w:rPr>
          <w:lang w:val="fr-BE"/>
        </w:rPr>
        <w:t>, peu se sont attachées à pouvoir objectiver et identifier clairement comment varie la consommation de médicaments suite à une entrée en maison de repos</w:t>
      </w:r>
      <w:r w:rsidRPr="00224CD6">
        <w:rPr>
          <w:lang w:val="fr-BE"/>
        </w:rPr>
        <w:t xml:space="preserve">. </w:t>
      </w:r>
    </w:p>
    <w:p w14:paraId="2C7DD34C" w14:textId="77777777" w:rsidR="00224CD6" w:rsidRPr="00224CD6" w:rsidRDefault="00224CD6" w:rsidP="00224CD6">
      <w:pPr>
        <w:spacing w:after="0"/>
        <w:jc w:val="both"/>
        <w:rPr>
          <w:lang w:val="fr-BE"/>
        </w:rPr>
      </w:pPr>
    </w:p>
    <w:p w14:paraId="721FCDE4" w14:textId="66371FBE" w:rsidR="00224CD6" w:rsidRDefault="00224CD6" w:rsidP="00224CD6">
      <w:pPr>
        <w:spacing w:after="0"/>
        <w:jc w:val="both"/>
        <w:rPr>
          <w:lang w:val="fr-BE"/>
        </w:rPr>
      </w:pPr>
      <w:r>
        <w:rPr>
          <w:lang w:val="fr-BE"/>
        </w:rPr>
        <w:t>Cette étude</w:t>
      </w:r>
      <w:r w:rsidRPr="00224CD6">
        <w:rPr>
          <w:lang w:val="fr-BE"/>
        </w:rPr>
        <w:t xml:space="preserve"> permet</w:t>
      </w:r>
      <w:r>
        <w:rPr>
          <w:lang w:val="fr-BE"/>
        </w:rPr>
        <w:t xml:space="preserve"> ainsi d’apporter un éclairage nuancé sur la problématique et réactualise les analyses que Solidaris avait réalisées il y a dix ans sur cette question</w:t>
      </w:r>
      <w:r w:rsidR="00FB3830">
        <w:rPr>
          <w:lang w:val="fr-BE"/>
        </w:rPr>
        <w:t xml:space="preserve">, en suivant </w:t>
      </w:r>
      <w:r w:rsidR="0093796F">
        <w:rPr>
          <w:lang w:val="fr-BE"/>
        </w:rPr>
        <w:t xml:space="preserve">de manière longitudinale </w:t>
      </w:r>
      <w:r w:rsidR="00FB3830">
        <w:rPr>
          <w:lang w:val="fr-BE"/>
        </w:rPr>
        <w:t>les personnes âgées de 70 ans et plus entrées en maison de repos pour la première fois au cours du premier semestre 2021 (environ 3.750 affiliés en Wallonie et en Flandre) et en comparant leur consommation de médicaments 6 mois avant et 6 mois après leur institutionnalisation</w:t>
      </w:r>
      <w:r>
        <w:rPr>
          <w:lang w:val="fr-BE"/>
        </w:rPr>
        <w:t>.</w:t>
      </w:r>
      <w:r w:rsidR="00FB3830">
        <w:rPr>
          <w:lang w:val="fr-BE"/>
        </w:rPr>
        <w:t xml:space="preserve"> </w:t>
      </w:r>
      <w:r>
        <w:rPr>
          <w:lang w:val="fr-BE"/>
        </w:rPr>
        <w:t xml:space="preserve"> </w:t>
      </w:r>
    </w:p>
    <w:p w14:paraId="633C82A3" w14:textId="77777777" w:rsidR="00224CD6" w:rsidRPr="00224CD6" w:rsidRDefault="00224CD6" w:rsidP="00224CD6">
      <w:pPr>
        <w:spacing w:after="0"/>
        <w:jc w:val="both"/>
        <w:rPr>
          <w:lang w:val="fr-BE"/>
        </w:rPr>
      </w:pPr>
    </w:p>
    <w:p w14:paraId="4779A642" w14:textId="17B4DCBC" w:rsidR="001C0E42" w:rsidRPr="00CC0F02" w:rsidRDefault="00FB3830" w:rsidP="00224CD6">
      <w:pPr>
        <w:spacing w:after="0"/>
        <w:jc w:val="both"/>
        <w:rPr>
          <w:lang w:val="fr-BE"/>
        </w:rPr>
      </w:pPr>
      <w:r>
        <w:rPr>
          <w:lang w:val="fr-BE"/>
        </w:rPr>
        <w:t xml:space="preserve">Une série </w:t>
      </w:r>
      <w:r w:rsidRPr="00CC0F02">
        <w:rPr>
          <w:lang w:val="fr-BE"/>
        </w:rPr>
        <w:t xml:space="preserve">d’enseignement peuvent en être tirés </w:t>
      </w:r>
      <w:r w:rsidR="001C0E42" w:rsidRPr="00CC0F02">
        <w:rPr>
          <w:lang w:val="fr-BE"/>
        </w:rPr>
        <w:t>:</w:t>
      </w:r>
    </w:p>
    <w:p w14:paraId="60340B9F" w14:textId="0A542C5C" w:rsidR="007E2B06" w:rsidRPr="00CC0F02" w:rsidRDefault="001C0E42" w:rsidP="007E2B06">
      <w:pPr>
        <w:pStyle w:val="Paragraphedeliste"/>
        <w:numPr>
          <w:ilvl w:val="0"/>
          <w:numId w:val="18"/>
        </w:numPr>
        <w:spacing w:before="120" w:after="120"/>
        <w:jc w:val="both"/>
        <w:rPr>
          <w:lang w:val="fr-BE"/>
        </w:rPr>
      </w:pPr>
      <w:r w:rsidRPr="00CC0F02">
        <w:rPr>
          <w:b/>
          <w:bCs/>
          <w:lang w:val="fr-BE"/>
        </w:rPr>
        <w:t xml:space="preserve">Les </w:t>
      </w:r>
      <w:r w:rsidR="0093796F" w:rsidRPr="00CC0F02">
        <w:rPr>
          <w:b/>
          <w:bCs/>
          <w:lang w:val="fr-BE"/>
        </w:rPr>
        <w:t>personnes consomment m</w:t>
      </w:r>
      <w:r w:rsidRPr="00CC0F02">
        <w:rPr>
          <w:b/>
          <w:bCs/>
          <w:lang w:val="fr-BE"/>
        </w:rPr>
        <w:t>oins de médicaments</w:t>
      </w:r>
      <w:r w:rsidR="00D4412B" w:rsidRPr="00CC0F02">
        <w:rPr>
          <w:b/>
          <w:bCs/>
          <w:lang w:val="fr-BE"/>
        </w:rPr>
        <w:t xml:space="preserve"> lorsqu’elles sont en maison de repos</w:t>
      </w:r>
      <w:r w:rsidRPr="00CC0F02">
        <w:rPr>
          <w:b/>
          <w:bCs/>
          <w:lang w:val="fr-BE"/>
        </w:rPr>
        <w:t>.</w:t>
      </w:r>
      <w:r w:rsidRPr="00CC0F02">
        <w:rPr>
          <w:bCs/>
          <w:lang w:val="fr-BE"/>
        </w:rPr>
        <w:t xml:space="preserve"> L'</w:t>
      </w:r>
      <w:r w:rsidR="0093796F" w:rsidRPr="00CC0F02">
        <w:rPr>
          <w:bCs/>
          <w:lang w:val="fr-BE"/>
        </w:rPr>
        <w:t>entrée en maison de repos</w:t>
      </w:r>
      <w:r w:rsidR="0093796F" w:rsidRPr="00CC0F02">
        <w:rPr>
          <w:lang w:val="fr-BE"/>
        </w:rPr>
        <w:t xml:space="preserve"> est associée à une baisse de la </w:t>
      </w:r>
      <w:r w:rsidRPr="00CC0F02">
        <w:rPr>
          <w:lang w:val="fr-BE"/>
        </w:rPr>
        <w:t>consommation de médicaments (exprimée en nombre de doses quotidiennes</w:t>
      </w:r>
      <w:r w:rsidR="0093796F" w:rsidRPr="00CC0F02">
        <w:rPr>
          <w:lang w:val="fr-BE"/>
        </w:rPr>
        <w:t>, cf. en DDD</w:t>
      </w:r>
      <w:r w:rsidRPr="00CC0F02">
        <w:rPr>
          <w:lang w:val="fr-BE"/>
        </w:rPr>
        <w:t>). En moyenne, un</w:t>
      </w:r>
      <w:r w:rsidR="0093796F" w:rsidRPr="00CC0F02">
        <w:rPr>
          <w:lang w:val="fr-BE"/>
        </w:rPr>
        <w:t xml:space="preserve">e personne en maison de repos prend </w:t>
      </w:r>
      <w:r w:rsidRPr="00CC0F02">
        <w:rPr>
          <w:lang w:val="fr-BE"/>
        </w:rPr>
        <w:t xml:space="preserve">772 DDD </w:t>
      </w:r>
      <w:r w:rsidR="0093796F" w:rsidRPr="00CC0F02">
        <w:rPr>
          <w:lang w:val="fr-BE"/>
        </w:rPr>
        <w:t>au cours des</w:t>
      </w:r>
      <w:r w:rsidRPr="00CC0F02">
        <w:rPr>
          <w:lang w:val="fr-BE"/>
        </w:rPr>
        <w:t xml:space="preserve"> six mois suivant son </w:t>
      </w:r>
      <w:r w:rsidR="0093796F" w:rsidRPr="00CC0F02">
        <w:rPr>
          <w:lang w:val="fr-BE"/>
        </w:rPr>
        <w:t>institutionnalisation</w:t>
      </w:r>
      <w:r w:rsidRPr="00CC0F02">
        <w:rPr>
          <w:lang w:val="fr-BE"/>
        </w:rPr>
        <w:t xml:space="preserve">, contre 943 six mois avant son </w:t>
      </w:r>
      <w:r w:rsidR="0093796F" w:rsidRPr="00CC0F02">
        <w:rPr>
          <w:lang w:val="fr-BE"/>
        </w:rPr>
        <w:t xml:space="preserve">institutionnalisation. En d’autres mots, la consommation de médicaments diminue de </w:t>
      </w:r>
      <w:r w:rsidRPr="00CC0F02">
        <w:rPr>
          <w:lang w:val="fr-BE"/>
        </w:rPr>
        <w:t>18</w:t>
      </w:r>
      <w:r w:rsidR="0093796F" w:rsidRPr="00CC0F02">
        <w:rPr>
          <w:lang w:val="fr-BE"/>
        </w:rPr>
        <w:t>% suite à l’entrée en maison de repos</w:t>
      </w:r>
      <w:r w:rsidRPr="00CC0F02">
        <w:rPr>
          <w:lang w:val="fr-BE"/>
        </w:rPr>
        <w:t>.</w:t>
      </w:r>
      <w:r w:rsidR="007E2B06" w:rsidRPr="00CC0F02">
        <w:rPr>
          <w:lang w:val="fr-BE"/>
        </w:rPr>
        <w:t xml:space="preserve"> Ce constat diffère sensiblement de ce qu’on pouvait observer il y a une dizaine d’année où l’entrée en maison de repos se traduisait par une consommation globale de médicaments relativement stable. Plusieurs hypothèses peuvent expliquer cette tendance : entre autres</w:t>
      </w:r>
      <w:r w:rsidR="00125DEF" w:rsidRPr="00CC0F02">
        <w:rPr>
          <w:lang w:val="fr-BE"/>
        </w:rPr>
        <w:t>,</w:t>
      </w:r>
      <w:r w:rsidR="007E2B06" w:rsidRPr="00CC0F02">
        <w:rPr>
          <w:lang w:val="fr-BE"/>
        </w:rPr>
        <w:t xml:space="preserve"> l’introduction de la tarification à l’unité (cf. par comprimé) dans les maisons de repos en 2015 ainsi que la possibilité de préparation de médication individuelle depuis 2012 mais aussi la sensibilisation accrue concernant une utilisation </w:t>
      </w:r>
      <w:r w:rsidR="002149EF">
        <w:rPr>
          <w:lang w:val="fr-BE"/>
        </w:rPr>
        <w:t>rationnelle</w:t>
      </w:r>
      <w:r w:rsidR="00026C55">
        <w:rPr>
          <w:lang w:val="fr-BE"/>
        </w:rPr>
        <w:t xml:space="preserve"> </w:t>
      </w:r>
      <w:r w:rsidR="007E2B06" w:rsidRPr="00CC0F02">
        <w:rPr>
          <w:lang w:val="fr-BE"/>
        </w:rPr>
        <w:t xml:space="preserve">du médicament </w:t>
      </w:r>
      <w:r w:rsidR="00125DEF" w:rsidRPr="00CC0F02">
        <w:rPr>
          <w:lang w:val="fr-BE"/>
        </w:rPr>
        <w:t>et</w:t>
      </w:r>
      <w:r w:rsidR="007E2B06" w:rsidRPr="00CC0F02">
        <w:rPr>
          <w:lang w:val="fr-BE"/>
        </w:rPr>
        <w:t xml:space="preserve"> la formation des médecins coordinateurs et conseillers dans les maisons de repos.</w:t>
      </w:r>
    </w:p>
    <w:p w14:paraId="20EBFE08" w14:textId="47AEB5BE" w:rsidR="001C0E42" w:rsidRPr="00CC0F02" w:rsidRDefault="007E2B06" w:rsidP="007E2B06">
      <w:pPr>
        <w:pStyle w:val="Paragraphedeliste"/>
        <w:numPr>
          <w:ilvl w:val="0"/>
          <w:numId w:val="0"/>
        </w:numPr>
        <w:spacing w:before="120" w:after="120"/>
        <w:ind w:left="720"/>
        <w:jc w:val="both"/>
        <w:rPr>
          <w:lang w:val="fr-BE"/>
        </w:rPr>
      </w:pPr>
      <w:r w:rsidRPr="00CC0F02">
        <w:rPr>
          <w:lang w:val="fr-BE"/>
        </w:rPr>
        <w:t xml:space="preserve"> </w:t>
      </w:r>
    </w:p>
    <w:p w14:paraId="17360518" w14:textId="222C2A1B" w:rsidR="001C0E42" w:rsidRPr="0035545C" w:rsidRDefault="001C0E42" w:rsidP="0093796F">
      <w:pPr>
        <w:pStyle w:val="Paragraphedeliste"/>
        <w:numPr>
          <w:ilvl w:val="0"/>
          <w:numId w:val="18"/>
        </w:numPr>
        <w:spacing w:before="120" w:after="120"/>
        <w:contextualSpacing w:val="0"/>
        <w:jc w:val="both"/>
        <w:rPr>
          <w:lang w:val="fr-BE"/>
        </w:rPr>
      </w:pPr>
      <w:r w:rsidRPr="00CC0F02">
        <w:rPr>
          <w:b/>
          <w:bCs/>
          <w:lang w:val="fr-BE"/>
        </w:rPr>
        <w:t>L'</w:t>
      </w:r>
      <w:r w:rsidR="001A4D88" w:rsidRPr="00CC0F02">
        <w:rPr>
          <w:b/>
          <w:bCs/>
          <w:lang w:val="fr-BE"/>
        </w:rPr>
        <w:t>entrée en maison de repos</w:t>
      </w:r>
      <w:r w:rsidRPr="00CC0F02">
        <w:rPr>
          <w:b/>
          <w:bCs/>
          <w:lang w:val="fr-BE"/>
        </w:rPr>
        <w:t xml:space="preserve"> entraîne </w:t>
      </w:r>
      <w:r w:rsidR="001A4D88" w:rsidRPr="00CC0F02">
        <w:rPr>
          <w:b/>
          <w:bCs/>
          <w:lang w:val="fr-BE"/>
        </w:rPr>
        <w:t xml:space="preserve">un peu moins de </w:t>
      </w:r>
      <w:r w:rsidRPr="00CC0F02">
        <w:rPr>
          <w:b/>
          <w:bCs/>
          <w:lang w:val="fr-BE"/>
        </w:rPr>
        <w:t>consommation d</w:t>
      </w:r>
      <w:r w:rsidR="001A4D88" w:rsidRPr="00CC0F02">
        <w:rPr>
          <w:b/>
          <w:bCs/>
          <w:lang w:val="fr-BE"/>
        </w:rPr>
        <w:t>e</w:t>
      </w:r>
      <w:r w:rsidRPr="00CC0F02">
        <w:rPr>
          <w:b/>
          <w:bCs/>
          <w:lang w:val="fr-BE"/>
        </w:rPr>
        <w:t xml:space="preserve"> médicaments différents (polymédication). </w:t>
      </w:r>
      <w:r w:rsidRPr="00CC0F02">
        <w:rPr>
          <w:lang w:val="fr-BE"/>
        </w:rPr>
        <w:t xml:space="preserve">En moyenne, les </w:t>
      </w:r>
      <w:r w:rsidR="009B5832" w:rsidRPr="00CC0F02">
        <w:rPr>
          <w:lang w:val="fr-BE"/>
        </w:rPr>
        <w:t>affiliés</w:t>
      </w:r>
      <w:r w:rsidR="009B5832">
        <w:rPr>
          <w:lang w:val="fr-BE"/>
        </w:rPr>
        <w:t xml:space="preserve"> </w:t>
      </w:r>
      <w:r w:rsidRPr="0035545C">
        <w:rPr>
          <w:lang w:val="fr-BE"/>
        </w:rPr>
        <w:t>se voient prescrire 8 classes de médicaments différentes (au niveau ATC4)</w:t>
      </w:r>
      <w:r w:rsidR="009B5832">
        <w:rPr>
          <w:lang w:val="fr-BE"/>
        </w:rPr>
        <w:t xml:space="preserve"> suite à l’entrée en maison de repos, contre 9 lorsqu’ils étaient à domicile</w:t>
      </w:r>
      <w:r w:rsidRPr="0035545C">
        <w:rPr>
          <w:lang w:val="fr-BE"/>
        </w:rPr>
        <w:t xml:space="preserve">. </w:t>
      </w:r>
      <w:r w:rsidR="009B5832">
        <w:rPr>
          <w:lang w:val="fr-BE"/>
        </w:rPr>
        <w:t xml:space="preserve">A noter que 10% d’affiliés prennent jusqu’à </w:t>
      </w:r>
      <w:r w:rsidRPr="0035545C">
        <w:rPr>
          <w:lang w:val="fr-BE"/>
        </w:rPr>
        <w:t>14 classes de médicaments différentes après l'</w:t>
      </w:r>
      <w:r w:rsidR="009B5832">
        <w:rPr>
          <w:lang w:val="fr-BE"/>
        </w:rPr>
        <w:t>entrée en maison de repos</w:t>
      </w:r>
      <w:r w:rsidRPr="0035545C">
        <w:rPr>
          <w:lang w:val="fr-BE"/>
        </w:rPr>
        <w:t xml:space="preserve"> contre 15 à domicile.</w:t>
      </w:r>
    </w:p>
    <w:p w14:paraId="30D03F6F" w14:textId="3165939C" w:rsidR="001C0E42" w:rsidRPr="0035545C" w:rsidRDefault="001C0E42" w:rsidP="0093796F">
      <w:pPr>
        <w:pStyle w:val="Paragraphedeliste"/>
        <w:numPr>
          <w:ilvl w:val="0"/>
          <w:numId w:val="18"/>
        </w:numPr>
        <w:spacing w:before="120" w:after="120"/>
        <w:contextualSpacing w:val="0"/>
        <w:jc w:val="both"/>
        <w:rPr>
          <w:lang w:val="fr-BE"/>
        </w:rPr>
      </w:pPr>
      <w:r w:rsidRPr="0035545C">
        <w:rPr>
          <w:b/>
          <w:bCs/>
          <w:lang w:val="fr-BE"/>
        </w:rPr>
        <w:t xml:space="preserve">Les </w:t>
      </w:r>
      <w:r w:rsidR="00D4412B">
        <w:rPr>
          <w:b/>
          <w:bCs/>
          <w:lang w:val="fr-BE"/>
        </w:rPr>
        <w:t xml:space="preserve">personnes en maison de repos </w:t>
      </w:r>
      <w:r w:rsidR="00C42511">
        <w:rPr>
          <w:b/>
          <w:bCs/>
          <w:lang w:val="fr-BE"/>
        </w:rPr>
        <w:t>se voient prescrire quelques changements de traitements</w:t>
      </w:r>
      <w:r w:rsidRPr="0035545C">
        <w:rPr>
          <w:b/>
          <w:bCs/>
          <w:lang w:val="fr-BE"/>
        </w:rPr>
        <w:t xml:space="preserve">. </w:t>
      </w:r>
      <w:r w:rsidRPr="00C42511">
        <w:rPr>
          <w:bCs/>
          <w:lang w:val="fr-BE"/>
        </w:rPr>
        <w:t>L'</w:t>
      </w:r>
      <w:r w:rsidRPr="00C42511">
        <w:rPr>
          <w:lang w:val="fr-BE"/>
        </w:rPr>
        <w:t xml:space="preserve">analyse longitudinale </w:t>
      </w:r>
      <w:r w:rsidRPr="0035545C">
        <w:rPr>
          <w:lang w:val="fr-BE"/>
        </w:rPr>
        <w:t xml:space="preserve">montre qu'il existe </w:t>
      </w:r>
      <w:r w:rsidR="00957475">
        <w:rPr>
          <w:lang w:val="fr-BE"/>
        </w:rPr>
        <w:t>des</w:t>
      </w:r>
      <w:r w:rsidRPr="0035545C">
        <w:rPr>
          <w:lang w:val="fr-BE"/>
        </w:rPr>
        <w:t xml:space="preserve"> différence</w:t>
      </w:r>
      <w:r w:rsidR="00957475">
        <w:rPr>
          <w:lang w:val="fr-BE"/>
        </w:rPr>
        <w:t>s, plus ou moins importantes,</w:t>
      </w:r>
      <w:r w:rsidRPr="0035545C">
        <w:rPr>
          <w:lang w:val="fr-BE"/>
        </w:rPr>
        <w:t xml:space="preserve"> entre les médicaments prescrits </w:t>
      </w:r>
      <w:r w:rsidR="00B61B97">
        <w:rPr>
          <w:lang w:val="fr-BE"/>
        </w:rPr>
        <w:t>en maison de repos en comparaison à la situation lorsque la personne était à domicile</w:t>
      </w:r>
      <w:r w:rsidRPr="0035545C">
        <w:rPr>
          <w:lang w:val="fr-BE"/>
        </w:rPr>
        <w:t>.</w:t>
      </w:r>
    </w:p>
    <w:p w14:paraId="401E4AB5" w14:textId="018681E1" w:rsidR="001C0E42" w:rsidRPr="0035545C" w:rsidRDefault="00B61B97" w:rsidP="0093796F">
      <w:pPr>
        <w:pStyle w:val="Paragraphedeliste"/>
        <w:spacing w:before="120" w:after="120"/>
        <w:contextualSpacing w:val="0"/>
        <w:jc w:val="both"/>
        <w:rPr>
          <w:lang w:val="fr-BE"/>
        </w:rPr>
      </w:pPr>
      <w:r>
        <w:rPr>
          <w:lang w:val="fr-BE"/>
        </w:rPr>
        <w:t>38</w:t>
      </w:r>
      <w:r w:rsidR="001C0E42" w:rsidRPr="0035545C">
        <w:rPr>
          <w:lang w:val="fr-BE"/>
        </w:rPr>
        <w:t xml:space="preserve">% des </w:t>
      </w:r>
      <w:r>
        <w:rPr>
          <w:lang w:val="fr-BE"/>
        </w:rPr>
        <w:t>personnes en maison de repos</w:t>
      </w:r>
      <w:r w:rsidR="001C0E42" w:rsidRPr="0035545C">
        <w:rPr>
          <w:lang w:val="fr-BE"/>
        </w:rPr>
        <w:t xml:space="preserve"> prennent des antidépresseurs (au moins 30 doses quotidiennes sur six mois) contre 35% </w:t>
      </w:r>
      <w:r>
        <w:rPr>
          <w:lang w:val="fr-BE"/>
        </w:rPr>
        <w:t>lorsqu’elles étaient chez elles</w:t>
      </w:r>
      <w:r w:rsidR="001C0E42" w:rsidRPr="0035545C">
        <w:rPr>
          <w:lang w:val="fr-BE"/>
        </w:rPr>
        <w:t xml:space="preserve">, soit une augmentation de 9%. </w:t>
      </w:r>
      <w:r>
        <w:rPr>
          <w:lang w:val="fr-BE"/>
        </w:rPr>
        <w:t>Parmi elles, u</w:t>
      </w:r>
      <w:r w:rsidR="001C0E42" w:rsidRPr="0035545C">
        <w:rPr>
          <w:lang w:val="fr-BE"/>
        </w:rPr>
        <w:t>n</w:t>
      </w:r>
      <w:r>
        <w:rPr>
          <w:lang w:val="fr-BE"/>
        </w:rPr>
        <w:t xml:space="preserve">e personne sur quatre a commencé à </w:t>
      </w:r>
      <w:r w:rsidR="001C0E42" w:rsidRPr="0035545C">
        <w:rPr>
          <w:lang w:val="fr-BE"/>
        </w:rPr>
        <w:t xml:space="preserve">prendre </w:t>
      </w:r>
      <w:r>
        <w:rPr>
          <w:lang w:val="fr-BE"/>
        </w:rPr>
        <w:t>des antidépresseurs après l’entrée en maison de repos</w:t>
      </w:r>
      <w:r w:rsidR="001C0E42" w:rsidRPr="0035545C">
        <w:rPr>
          <w:lang w:val="fr-BE"/>
        </w:rPr>
        <w:t>.</w:t>
      </w:r>
    </w:p>
    <w:p w14:paraId="6524E33C" w14:textId="008704D3" w:rsidR="001C0E42" w:rsidRPr="0035545C" w:rsidRDefault="001C0E42" w:rsidP="0093796F">
      <w:pPr>
        <w:pStyle w:val="Paragraphedeliste"/>
        <w:spacing w:before="120" w:after="120"/>
        <w:contextualSpacing w:val="0"/>
        <w:jc w:val="both"/>
        <w:rPr>
          <w:lang w:val="fr-BE"/>
        </w:rPr>
      </w:pPr>
      <w:r w:rsidRPr="0035545C">
        <w:rPr>
          <w:lang w:val="fr-BE"/>
        </w:rPr>
        <w:t>11% des</w:t>
      </w:r>
      <w:r w:rsidR="00957475">
        <w:rPr>
          <w:lang w:val="fr-BE"/>
        </w:rPr>
        <w:t xml:space="preserve"> personnes en maison de repos</w:t>
      </w:r>
      <w:r w:rsidRPr="0035545C">
        <w:rPr>
          <w:lang w:val="fr-BE"/>
        </w:rPr>
        <w:t xml:space="preserve"> prennent des antipsychotiques</w:t>
      </w:r>
      <w:r w:rsidR="00957475">
        <w:rPr>
          <w:lang w:val="fr-BE"/>
        </w:rPr>
        <w:t>, ce pourcentage étant de 10% lorsqu’elles étaient à domicile</w:t>
      </w:r>
      <w:r w:rsidRPr="0035545C">
        <w:rPr>
          <w:lang w:val="fr-BE"/>
        </w:rPr>
        <w:t xml:space="preserve">. La moitié </w:t>
      </w:r>
      <w:r w:rsidR="00957475">
        <w:rPr>
          <w:lang w:val="fr-BE"/>
        </w:rPr>
        <w:t>des personnes en maison de repos sous</w:t>
      </w:r>
      <w:r w:rsidRPr="0035545C">
        <w:rPr>
          <w:lang w:val="fr-BE"/>
        </w:rPr>
        <w:t xml:space="preserve"> antipsychotiques </w:t>
      </w:r>
      <w:r w:rsidR="00957475">
        <w:rPr>
          <w:lang w:val="fr-BE"/>
        </w:rPr>
        <w:t>a</w:t>
      </w:r>
      <w:r w:rsidRPr="0035545C">
        <w:rPr>
          <w:lang w:val="fr-BE"/>
        </w:rPr>
        <w:t xml:space="preserve"> commencé à les prendre après leur </w:t>
      </w:r>
      <w:r w:rsidR="00957475">
        <w:rPr>
          <w:lang w:val="fr-BE"/>
        </w:rPr>
        <w:t>institutionnalisation</w:t>
      </w:r>
      <w:r w:rsidRPr="0035545C">
        <w:rPr>
          <w:lang w:val="fr-BE"/>
        </w:rPr>
        <w:t>.</w:t>
      </w:r>
    </w:p>
    <w:p w14:paraId="532E5AB3" w14:textId="35CE6220" w:rsidR="001C0E42" w:rsidRPr="0035545C" w:rsidRDefault="001C0E42" w:rsidP="0093796F">
      <w:pPr>
        <w:pStyle w:val="Paragraphedeliste"/>
        <w:spacing w:before="120" w:after="120"/>
        <w:contextualSpacing w:val="0"/>
        <w:jc w:val="both"/>
        <w:rPr>
          <w:lang w:val="fr-BE"/>
        </w:rPr>
      </w:pPr>
      <w:r w:rsidRPr="0035545C">
        <w:rPr>
          <w:lang w:val="fr-BE"/>
        </w:rPr>
        <w:t>3</w:t>
      </w:r>
      <w:r w:rsidR="00957475">
        <w:rPr>
          <w:lang w:val="fr-BE"/>
        </w:rPr>
        <w:t>2</w:t>
      </w:r>
      <w:r w:rsidRPr="0035545C">
        <w:rPr>
          <w:lang w:val="fr-BE"/>
        </w:rPr>
        <w:t xml:space="preserve">% des </w:t>
      </w:r>
      <w:r w:rsidR="00957475">
        <w:rPr>
          <w:lang w:val="fr-BE"/>
        </w:rPr>
        <w:t>personnes en maison de repos</w:t>
      </w:r>
      <w:r w:rsidRPr="0035545C">
        <w:rPr>
          <w:lang w:val="fr-BE"/>
        </w:rPr>
        <w:t xml:space="preserve"> prennent des statines contre </w:t>
      </w:r>
      <w:r w:rsidR="00957475">
        <w:rPr>
          <w:lang w:val="fr-BE"/>
        </w:rPr>
        <w:t>39</w:t>
      </w:r>
      <w:r w:rsidRPr="0035545C">
        <w:rPr>
          <w:lang w:val="fr-BE"/>
        </w:rPr>
        <w:t xml:space="preserve">% </w:t>
      </w:r>
      <w:r w:rsidR="00957475">
        <w:rPr>
          <w:lang w:val="fr-BE"/>
        </w:rPr>
        <w:t xml:space="preserve">auparavant, </w:t>
      </w:r>
      <w:r w:rsidRPr="0035545C">
        <w:rPr>
          <w:lang w:val="fr-BE"/>
        </w:rPr>
        <w:t xml:space="preserve">soit une diminution de 18%. </w:t>
      </w:r>
      <w:r w:rsidR="00957475">
        <w:rPr>
          <w:lang w:val="fr-BE"/>
        </w:rPr>
        <w:t xml:space="preserve">Ainsi, </w:t>
      </w:r>
      <w:r w:rsidRPr="0035545C">
        <w:rPr>
          <w:lang w:val="fr-BE"/>
        </w:rPr>
        <w:t xml:space="preserve">27% des personnes prenant des médicaments </w:t>
      </w:r>
      <w:r w:rsidR="00957475">
        <w:rPr>
          <w:lang w:val="fr-BE"/>
        </w:rPr>
        <w:t xml:space="preserve">pour réduire le taux de cholestérol </w:t>
      </w:r>
      <w:r w:rsidRPr="0035545C">
        <w:rPr>
          <w:lang w:val="fr-BE"/>
        </w:rPr>
        <w:t xml:space="preserve">arrêtent leur traitement après leur </w:t>
      </w:r>
      <w:r w:rsidR="00957475">
        <w:rPr>
          <w:lang w:val="fr-BE"/>
        </w:rPr>
        <w:t xml:space="preserve">arrivée </w:t>
      </w:r>
      <w:r w:rsidRPr="0035545C">
        <w:rPr>
          <w:lang w:val="fr-BE"/>
        </w:rPr>
        <w:t>en maison de re</w:t>
      </w:r>
      <w:r w:rsidR="00957475">
        <w:rPr>
          <w:lang w:val="fr-BE"/>
        </w:rPr>
        <w:t>pos</w:t>
      </w:r>
      <w:r w:rsidRPr="0035545C">
        <w:rPr>
          <w:lang w:val="fr-BE"/>
        </w:rPr>
        <w:t>.</w:t>
      </w:r>
    </w:p>
    <w:p w14:paraId="345A6011" w14:textId="48A1B1D0" w:rsidR="001C0E42" w:rsidRPr="0035545C" w:rsidRDefault="001C0E42" w:rsidP="0093796F">
      <w:pPr>
        <w:pStyle w:val="Paragraphedeliste"/>
        <w:spacing w:before="120" w:after="120"/>
        <w:contextualSpacing w:val="0"/>
        <w:jc w:val="both"/>
        <w:rPr>
          <w:lang w:val="fr-BE"/>
        </w:rPr>
      </w:pPr>
      <w:r w:rsidRPr="0035545C">
        <w:rPr>
          <w:lang w:val="fr-BE"/>
        </w:rPr>
        <w:t>6</w:t>
      </w:r>
      <w:r w:rsidR="00957475">
        <w:rPr>
          <w:lang w:val="fr-BE"/>
        </w:rPr>
        <w:t>1</w:t>
      </w:r>
      <w:r w:rsidRPr="0035545C">
        <w:rPr>
          <w:lang w:val="fr-BE"/>
        </w:rPr>
        <w:t xml:space="preserve">% des </w:t>
      </w:r>
      <w:r w:rsidR="00957475">
        <w:rPr>
          <w:lang w:val="fr-BE"/>
        </w:rPr>
        <w:t>personnes en maison de repos</w:t>
      </w:r>
      <w:r w:rsidRPr="0035545C">
        <w:rPr>
          <w:lang w:val="fr-BE"/>
        </w:rPr>
        <w:t xml:space="preserve"> prennent des antithrombotiques contre </w:t>
      </w:r>
      <w:r w:rsidR="00957475">
        <w:rPr>
          <w:lang w:val="fr-BE"/>
        </w:rPr>
        <w:t>68</w:t>
      </w:r>
      <w:r w:rsidRPr="0035545C">
        <w:rPr>
          <w:lang w:val="fr-BE"/>
        </w:rPr>
        <w:t xml:space="preserve">% </w:t>
      </w:r>
      <w:r w:rsidR="00957475">
        <w:rPr>
          <w:lang w:val="fr-BE"/>
        </w:rPr>
        <w:t>lorsqu’elles étaient à domicile</w:t>
      </w:r>
      <w:r w:rsidRPr="0035545C">
        <w:rPr>
          <w:lang w:val="fr-BE"/>
        </w:rPr>
        <w:t xml:space="preserve">, soit une diminution de </w:t>
      </w:r>
      <w:r w:rsidR="00957475">
        <w:rPr>
          <w:lang w:val="fr-BE"/>
        </w:rPr>
        <w:t>18</w:t>
      </w:r>
      <w:r w:rsidRPr="0035545C">
        <w:rPr>
          <w:lang w:val="fr-BE"/>
        </w:rPr>
        <w:t xml:space="preserve">%. </w:t>
      </w:r>
      <w:r w:rsidR="00957475">
        <w:rPr>
          <w:lang w:val="fr-BE"/>
        </w:rPr>
        <w:t>P</w:t>
      </w:r>
      <w:r w:rsidR="009732E8">
        <w:rPr>
          <w:lang w:val="fr-BE"/>
        </w:rPr>
        <w:t xml:space="preserve">lus d’une personne sur cinq </w:t>
      </w:r>
      <w:r w:rsidR="00957475" w:rsidRPr="00957475">
        <w:rPr>
          <w:lang w:val="fr-BE"/>
        </w:rPr>
        <w:t xml:space="preserve"> </w:t>
      </w:r>
      <w:r w:rsidRPr="0035545C">
        <w:rPr>
          <w:lang w:val="fr-BE"/>
        </w:rPr>
        <w:t>prenant des antithrombotiques arr</w:t>
      </w:r>
      <w:r w:rsidR="009732E8">
        <w:rPr>
          <w:lang w:val="fr-BE"/>
        </w:rPr>
        <w:t>êtent leur traitement après l'arrivée en maison de repos</w:t>
      </w:r>
      <w:r w:rsidRPr="0035545C">
        <w:rPr>
          <w:lang w:val="fr-BE"/>
        </w:rPr>
        <w:t>.</w:t>
      </w:r>
    </w:p>
    <w:bookmarkStart w:id="24" w:name="_Toc130195929"/>
    <w:p w14:paraId="70675AD6" w14:textId="40196177" w:rsidR="00A26E54" w:rsidRDefault="00A26E54" w:rsidP="001017C3">
      <w:pPr>
        <w:pStyle w:val="Titre1"/>
        <w:rPr>
          <w:lang w:val="fr-BE"/>
        </w:rPr>
      </w:pPr>
      <w:r w:rsidRPr="00365CC3">
        <w:rPr>
          <w:noProof/>
          <w:lang w:val="fr-BE" w:eastAsia="fr-BE"/>
        </w:rPr>
        <w:lastRenderedPageBreak/>
        <mc:AlternateContent>
          <mc:Choice Requires="wps">
            <w:drawing>
              <wp:anchor distT="0" distB="0" distL="114300" distR="114300" simplePos="0" relativeHeight="251658241" behindDoc="1" locked="0" layoutInCell="1" allowOverlap="1" wp14:anchorId="7BAB7629" wp14:editId="587BB4EE">
                <wp:simplePos x="0" y="0"/>
                <wp:positionH relativeFrom="column">
                  <wp:posOffset>-971550</wp:posOffset>
                </wp:positionH>
                <wp:positionV relativeFrom="paragraph">
                  <wp:posOffset>-970915</wp:posOffset>
                </wp:positionV>
                <wp:extent cx="7677150" cy="10706100"/>
                <wp:effectExtent l="0" t="0" r="0" b="0"/>
                <wp:wrapNone/>
                <wp:docPr id="5" name="Rechthoek 5"/>
                <wp:cNvGraphicFramePr/>
                <a:graphic xmlns:a="http://schemas.openxmlformats.org/drawingml/2006/main">
                  <a:graphicData uri="http://schemas.microsoft.com/office/word/2010/wordprocessingShape">
                    <wps:wsp>
                      <wps:cNvSpPr/>
                      <wps:spPr>
                        <a:xfrm>
                          <a:off x="0" y="0"/>
                          <a:ext cx="7677150" cy="10706100"/>
                        </a:xfrm>
                        <a:prstGeom prst="rect">
                          <a:avLst/>
                        </a:prstGeom>
                        <a:solidFill>
                          <a:srgbClr val="F2D9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w:pict>
              <v:rect id="Rechthoek 5" style="position:absolute;margin-left:-76.5pt;margin-top:-76.45pt;width:604.5pt;height:8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d9da" stroked="f" strokeweight="1pt" w14:anchorId="38BE6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"/>
            </w:pict>
          </mc:Fallback>
        </mc:AlternateContent>
      </w:r>
      <w:r w:rsidR="00CE3DD3">
        <w:rPr>
          <w:lang w:val="fr-BE"/>
        </w:rPr>
        <w:t>Recommandations</w:t>
      </w:r>
      <w:bookmarkEnd w:id="24"/>
    </w:p>
    <w:p w14:paraId="0DB7D653" w14:textId="0E57BF21" w:rsidR="00A26E54" w:rsidRPr="00365CC3" w:rsidRDefault="00A26E54" w:rsidP="0093796F">
      <w:pPr>
        <w:jc w:val="both"/>
        <w:rPr>
          <w:lang w:val="fr-BE"/>
        </w:rPr>
      </w:pPr>
    </w:p>
    <w:p w14:paraId="684C0646" w14:textId="77777777" w:rsidR="00516894" w:rsidRDefault="00516894" w:rsidP="00516894">
      <w:pPr>
        <w:jc w:val="both"/>
        <w:rPr>
          <w:bCs/>
          <w:lang w:val="fr-BE"/>
        </w:rPr>
      </w:pPr>
      <w:r w:rsidRPr="00BC2A2B">
        <w:rPr>
          <w:bCs/>
          <w:lang w:val="fr-BE"/>
        </w:rPr>
        <w:t xml:space="preserve">Sur base de ces </w:t>
      </w:r>
      <w:r>
        <w:rPr>
          <w:bCs/>
          <w:lang w:val="fr-BE"/>
        </w:rPr>
        <w:t>résultats</w:t>
      </w:r>
      <w:r w:rsidRPr="00BC2A2B">
        <w:rPr>
          <w:bCs/>
          <w:lang w:val="fr-BE"/>
        </w:rPr>
        <w:t xml:space="preserve">, </w:t>
      </w:r>
      <w:r>
        <w:rPr>
          <w:bCs/>
          <w:lang w:val="fr-BE"/>
        </w:rPr>
        <w:t>on constate que des progrès ont été réalisés ces dernières années en matière de prescription des médicaments en maison de repos notamment via l’introduction de la tarification à l’unité obligatoire depuis le 1</w:t>
      </w:r>
      <w:r w:rsidRPr="00FE6A36">
        <w:rPr>
          <w:bCs/>
          <w:vertAlign w:val="superscript"/>
          <w:lang w:val="fr-BE"/>
        </w:rPr>
        <w:t>er</w:t>
      </w:r>
      <w:r>
        <w:rPr>
          <w:bCs/>
          <w:lang w:val="fr-BE"/>
        </w:rPr>
        <w:t xml:space="preserve"> avril 2015 et la possibilité de préparation médicale individuelle. </w:t>
      </w:r>
    </w:p>
    <w:p w14:paraId="4799990D" w14:textId="77777777" w:rsidR="00516894" w:rsidRDefault="00516894" w:rsidP="00516894">
      <w:pPr>
        <w:jc w:val="both"/>
        <w:rPr>
          <w:bCs/>
          <w:lang w:val="fr-BE"/>
        </w:rPr>
      </w:pPr>
      <w:r>
        <w:rPr>
          <w:bCs/>
          <w:lang w:val="fr-BE"/>
        </w:rPr>
        <w:t>Il est cependant indispensable de poursuivre les efforts en matière de sensibilisation des prestataires de soins : l</w:t>
      </w:r>
      <w:r w:rsidRPr="005317C8">
        <w:rPr>
          <w:lang w:val="fr-BE"/>
        </w:rPr>
        <w:t>a révision des prescriptions à</w:t>
      </w:r>
      <w:r>
        <w:rPr>
          <w:lang w:val="fr-BE"/>
        </w:rPr>
        <w:t xml:space="preserve"> l’aide des critères explicites et reconnus </w:t>
      </w:r>
      <w:r w:rsidRPr="005317C8">
        <w:rPr>
          <w:lang w:val="fr-BE"/>
        </w:rPr>
        <w:t xml:space="preserve">ainsi que les stratégies d’éducation destinées à sensibiliser les médecins aux prescriptions inappropriées permettent de lutter contre la surmédicalisation et contribuent à l’utilisation rationnelle de médicaments chez la personne âgée. Il importe également de continuer à sensibiliser et former les professionnels qui accompagnent les seniors au quotidien comme le personnel soignant </w:t>
      </w:r>
      <w:r>
        <w:rPr>
          <w:bCs/>
          <w:lang w:val="fr-BE"/>
        </w:rPr>
        <w:t>mais aussi de sensibiliser les patients eux-mêmes sur cette problématique.</w:t>
      </w:r>
    </w:p>
    <w:p w14:paraId="6A915798" w14:textId="77777777" w:rsidR="00516894" w:rsidRPr="00BC2A2B" w:rsidRDefault="00516894" w:rsidP="00516894">
      <w:pPr>
        <w:jc w:val="both"/>
        <w:rPr>
          <w:bCs/>
          <w:lang w:val="fr-BE"/>
        </w:rPr>
      </w:pPr>
      <w:r w:rsidRPr="00BC2A2B">
        <w:rPr>
          <w:bCs/>
          <w:lang w:val="fr-BE"/>
        </w:rPr>
        <w:t>Solidaris plaide pour les recommandations suivantes</w:t>
      </w:r>
      <w:r>
        <w:rPr>
          <w:bCs/>
          <w:lang w:val="fr-BE"/>
        </w:rPr>
        <w:t xml:space="preserve"> </w:t>
      </w:r>
      <w:r w:rsidRPr="00BC2A2B">
        <w:rPr>
          <w:bCs/>
          <w:lang w:val="fr-BE"/>
        </w:rPr>
        <w:t>:</w:t>
      </w:r>
    </w:p>
    <w:p w14:paraId="64DA542F" w14:textId="6B48296C" w:rsidR="00516894" w:rsidRPr="00C11C7D" w:rsidRDefault="00516894" w:rsidP="0007719B">
      <w:pPr>
        <w:pStyle w:val="Paragraphedeliste"/>
        <w:numPr>
          <w:ilvl w:val="0"/>
          <w:numId w:val="22"/>
        </w:numPr>
        <w:jc w:val="both"/>
        <w:rPr>
          <w:lang w:val="fr-BE"/>
        </w:rPr>
      </w:pPr>
      <w:r w:rsidRPr="00C11C7D">
        <w:rPr>
          <w:b/>
          <w:bCs/>
          <w:lang w:val="fr-BE"/>
        </w:rPr>
        <w:t xml:space="preserve">Une implication des pharmaciens dans le monitoring de la qualité de la prescription de médicaments en maison de repos via la désignation de pharmacien coordinateur et conseiller (PCC). </w:t>
      </w:r>
      <w:r w:rsidRPr="00C11C7D">
        <w:rPr>
          <w:lang w:val="fr-BE"/>
        </w:rPr>
        <w:t>La Flandre a déjà franchi le pas en ce sens</w:t>
      </w:r>
      <w:r>
        <w:rPr>
          <w:rStyle w:val="Appelnotedebasdep"/>
          <w:lang w:val="fr-BE"/>
        </w:rPr>
        <w:footnoteReference w:id="30"/>
      </w:r>
      <w:r w:rsidRPr="00C11C7D">
        <w:rPr>
          <w:lang w:val="fr-BE"/>
        </w:rPr>
        <w:t xml:space="preserve"> : la maison de repos peut s'appuyer sur un pharmacien coordinateur et conseiller (par exemple, celui qui délivre les médicaments à l’institution) pour organiser la prise en charge pharmaceutique des résidents</w:t>
      </w:r>
      <w:r>
        <w:rPr>
          <w:rStyle w:val="Appelnotedebasdep"/>
          <w:lang w:val="fr-BE"/>
        </w:rPr>
        <w:footnoteReference w:id="31"/>
      </w:r>
      <w:r w:rsidRPr="00C11C7D">
        <w:rPr>
          <w:lang w:val="fr-BE"/>
        </w:rPr>
        <w:t xml:space="preserve">. </w:t>
      </w:r>
      <w:r w:rsidR="0007719B" w:rsidRPr="00C11C7D">
        <w:rPr>
          <w:lang w:val="fr-BE"/>
        </w:rPr>
        <w:t xml:space="preserve">A noter que </w:t>
      </w:r>
      <w:proofErr w:type="spellStart"/>
      <w:r w:rsidR="0007719B" w:rsidRPr="00C11C7D">
        <w:rPr>
          <w:lang w:val="fr-BE"/>
        </w:rPr>
        <w:t>Multipharma</w:t>
      </w:r>
      <w:proofErr w:type="spellEnd"/>
      <w:r w:rsidR="0007719B" w:rsidRPr="00C11C7D">
        <w:rPr>
          <w:lang w:val="fr-BE"/>
        </w:rPr>
        <w:t xml:space="preserve"> vient également tout récemment </w:t>
      </w:r>
      <w:r w:rsidR="008E540E">
        <w:rPr>
          <w:lang w:val="fr-BE"/>
        </w:rPr>
        <w:t>d’annoncer l’introduction des</w:t>
      </w:r>
      <w:r w:rsidR="0007719B" w:rsidRPr="00C11C7D">
        <w:rPr>
          <w:lang w:val="fr-BE"/>
        </w:rPr>
        <w:t xml:space="preserve"> PCC dans les maisons de repos et de soins et autres institutions de soins</w:t>
      </w:r>
      <w:r w:rsidR="008E540E">
        <w:rPr>
          <w:lang w:val="fr-BE"/>
        </w:rPr>
        <w:t xml:space="preserve"> avec qui ils travaillent</w:t>
      </w:r>
      <w:r w:rsidR="0007719B">
        <w:rPr>
          <w:rStyle w:val="Appelnotedebasdep"/>
          <w:lang w:val="fr-BE"/>
        </w:rPr>
        <w:footnoteReference w:id="32"/>
      </w:r>
      <w:r w:rsidR="0007719B" w:rsidRPr="00C11C7D">
        <w:rPr>
          <w:lang w:val="fr-BE"/>
        </w:rPr>
        <w:t xml:space="preserve">. </w:t>
      </w:r>
      <w:r w:rsidR="00C11C7D">
        <w:rPr>
          <w:lang w:val="fr-BE"/>
        </w:rPr>
        <w:t>Solidaris plaide pour généraliser cette bonne pratique</w:t>
      </w:r>
      <w:r w:rsidR="00226B21">
        <w:rPr>
          <w:lang w:val="fr-BE"/>
        </w:rPr>
        <w:t xml:space="preserve"> qui permet au </w:t>
      </w:r>
      <w:r w:rsidR="00C11C7D">
        <w:rPr>
          <w:lang w:val="fr-BE"/>
        </w:rPr>
        <w:t>PCC</w:t>
      </w:r>
      <w:r w:rsidR="00226B21">
        <w:rPr>
          <w:lang w:val="fr-BE"/>
        </w:rPr>
        <w:t> : i. d’</w:t>
      </w:r>
      <w:r w:rsidRPr="00C11C7D">
        <w:rPr>
          <w:lang w:val="fr-BE"/>
        </w:rPr>
        <w:t>assure</w:t>
      </w:r>
      <w:r w:rsidR="00226B21">
        <w:rPr>
          <w:lang w:val="fr-BE"/>
        </w:rPr>
        <w:t>r</w:t>
      </w:r>
      <w:r w:rsidRPr="00C11C7D">
        <w:rPr>
          <w:lang w:val="fr-BE"/>
        </w:rPr>
        <w:t xml:space="preserve"> notamment le rôle d'expert du médicament au sein d</w:t>
      </w:r>
      <w:r w:rsidR="00C15D9E">
        <w:rPr>
          <w:lang w:val="fr-BE"/>
        </w:rPr>
        <w:t>u personnel soignant</w:t>
      </w:r>
      <w:r w:rsidR="0073740C" w:rsidRPr="00C11C7D">
        <w:rPr>
          <w:lang w:val="fr-BE"/>
        </w:rPr>
        <w:t>,</w:t>
      </w:r>
      <w:r w:rsidRPr="00C11C7D">
        <w:rPr>
          <w:lang w:val="fr-BE"/>
        </w:rPr>
        <w:t xml:space="preserve"> </w:t>
      </w:r>
      <w:r w:rsidR="0073740C" w:rsidRPr="00C11C7D">
        <w:rPr>
          <w:lang w:val="fr-BE"/>
        </w:rPr>
        <w:t>afin de discuter et revoir les schémas de médication du patient si besoin</w:t>
      </w:r>
      <w:r w:rsidR="00EC390F" w:rsidRPr="00C11C7D">
        <w:rPr>
          <w:lang w:val="fr-BE"/>
        </w:rPr>
        <w:t xml:space="preserve"> en consultation avec le médecin traitant</w:t>
      </w:r>
      <w:r w:rsidR="00226B21">
        <w:rPr>
          <w:lang w:val="fr-BE"/>
        </w:rPr>
        <w:t> ; ii.</w:t>
      </w:r>
      <w:r w:rsidR="00C15D9E">
        <w:rPr>
          <w:lang w:val="fr-BE"/>
        </w:rPr>
        <w:t xml:space="preserve"> d’aider et soulager de la sorte les équipes de soins ; iii. </w:t>
      </w:r>
      <w:r w:rsidR="00226B21">
        <w:rPr>
          <w:lang w:val="fr-BE"/>
        </w:rPr>
        <w:t>mais aussi de jouer le rôle</w:t>
      </w:r>
      <w:r w:rsidRPr="00C11C7D">
        <w:rPr>
          <w:lang w:val="fr-BE"/>
        </w:rPr>
        <w:t xml:space="preserve"> de conseiller auprès du résident (ou son représentant) en ce qui concerne sa consommation de médicaments. </w:t>
      </w:r>
      <w:r w:rsidRPr="00C11C7D">
        <w:rPr>
          <w:bCs/>
          <w:lang w:val="fr-BE"/>
        </w:rPr>
        <w:t xml:space="preserve">En effet, les pharmaciens ont </w:t>
      </w:r>
      <w:r w:rsidRPr="00C11C7D">
        <w:rPr>
          <w:lang w:val="fr-BE"/>
        </w:rPr>
        <w:t xml:space="preserve">un </w:t>
      </w:r>
      <w:r w:rsidRPr="00C11C7D">
        <w:rPr>
          <w:bCs/>
          <w:lang w:val="fr-BE"/>
        </w:rPr>
        <w:t xml:space="preserve">rôle de référent important </w:t>
      </w:r>
      <w:r w:rsidRPr="00C11C7D">
        <w:rPr>
          <w:lang w:val="fr-BE"/>
        </w:rPr>
        <w:t xml:space="preserve">à jouer en la matière. Ils peuvent, par exemple, surveiller le suivi de l’adhérence au traitement et les interactions entre différents médicaments prescrits mais aussi non prescrits. Il est crucial de surveiller de près si les personnes en maison de repos ne consomment pas trop de médicaments ou des médicaments inutiles pour éviter des effets secondaires et des contre-indications avec d'autres médicaments. S’il s'agit évidemment d'une tâche essentielle du médecin traitant, désigner un pharmacien coordinateur et conseiller permet à ce dernier de jouer un rôle à cet égard au même titre que le médecin coordinateur et conseiller. </w:t>
      </w:r>
    </w:p>
    <w:p w14:paraId="26DC737B" w14:textId="77777777" w:rsidR="00516894" w:rsidRPr="0010467A" w:rsidRDefault="00516894" w:rsidP="00516894">
      <w:pPr>
        <w:pStyle w:val="Paragraphedeliste"/>
        <w:numPr>
          <w:ilvl w:val="0"/>
          <w:numId w:val="0"/>
        </w:numPr>
        <w:ind w:left="720"/>
        <w:jc w:val="both"/>
        <w:rPr>
          <w:lang w:val="fr-BE"/>
        </w:rPr>
      </w:pPr>
    </w:p>
    <w:p w14:paraId="7246F871" w14:textId="24ACA7A9" w:rsidR="00516894" w:rsidRPr="009C67FD" w:rsidRDefault="00516894" w:rsidP="00516894">
      <w:pPr>
        <w:pStyle w:val="Paragraphedeliste"/>
        <w:numPr>
          <w:ilvl w:val="0"/>
          <w:numId w:val="22"/>
        </w:numPr>
        <w:ind w:left="714" w:hanging="357"/>
        <w:jc w:val="both"/>
        <w:rPr>
          <w:b/>
          <w:bCs/>
          <w:lang w:val="fr-BE"/>
        </w:rPr>
      </w:pPr>
      <w:r w:rsidRPr="00F55B97">
        <w:rPr>
          <w:b/>
          <w:lang w:val="fr-BE"/>
        </w:rPr>
        <w:t xml:space="preserve">Un </w:t>
      </w:r>
      <w:r w:rsidRPr="00F55B97">
        <w:rPr>
          <w:b/>
          <w:bCs/>
          <w:lang w:val="fr-BE"/>
        </w:rPr>
        <w:t>renforcement du rôle du médecin coordinateur et conseiller de la maison de repos (MCC)</w:t>
      </w:r>
      <w:r w:rsidRPr="00F55B97">
        <w:rPr>
          <w:lang w:val="fr-BE"/>
        </w:rPr>
        <w:t>. Outre les missions qui lui sont déjà actuellement confiées dans le cadre de son activité rémunérée par la maison de repos, Solidaris propose que le MCC soit chargé d’organiser et d’assurer des activités de formation continue à l’intention du personnel de l'institution, par exemple une fois par an, dans l’objectif de le sensibiliser sur une thématique précis</w:t>
      </w:r>
      <w:r>
        <w:rPr>
          <w:lang w:val="fr-BE"/>
        </w:rPr>
        <w:t>e</w:t>
      </w:r>
      <w:r w:rsidRPr="00F55B97">
        <w:rPr>
          <w:lang w:val="fr-BE"/>
        </w:rPr>
        <w:t xml:space="preserve"> relative à la prescription du médicament (prescription des médicaments « </w:t>
      </w:r>
      <w:proofErr w:type="spellStart"/>
      <w:r w:rsidRPr="00F55B97">
        <w:rPr>
          <w:lang w:val="fr-BE"/>
        </w:rPr>
        <w:t>evidence</w:t>
      </w:r>
      <w:proofErr w:type="spellEnd"/>
      <w:r w:rsidRPr="00F55B97">
        <w:rPr>
          <w:lang w:val="fr-BE"/>
        </w:rPr>
        <w:t xml:space="preserve"> </w:t>
      </w:r>
      <w:proofErr w:type="spellStart"/>
      <w:r w:rsidRPr="00F55B97">
        <w:rPr>
          <w:lang w:val="fr-BE"/>
        </w:rPr>
        <w:t>based</w:t>
      </w:r>
      <w:proofErr w:type="spellEnd"/>
      <w:r w:rsidRPr="00F55B97">
        <w:rPr>
          <w:lang w:val="fr-BE"/>
        </w:rPr>
        <w:t xml:space="preserve"> », utilisation de guidelines ou de critères standards reconnus</w:t>
      </w:r>
      <w:r>
        <w:rPr>
          <w:lang w:val="fr-BE"/>
        </w:rPr>
        <w:t xml:space="preserve"> comme la liste </w:t>
      </w:r>
      <w:proofErr w:type="spellStart"/>
      <w:r>
        <w:rPr>
          <w:lang w:val="fr-BE"/>
        </w:rPr>
        <w:t>Stopp</w:t>
      </w:r>
      <w:proofErr w:type="spellEnd"/>
      <w:r>
        <w:rPr>
          <w:lang w:val="fr-BE"/>
        </w:rPr>
        <w:t xml:space="preserve"> et Start</w:t>
      </w:r>
      <w:r>
        <w:rPr>
          <w:rStyle w:val="Appelnotedebasdep"/>
          <w:lang w:val="fr-BE"/>
        </w:rPr>
        <w:footnoteReference w:id="33"/>
      </w:r>
      <w:r w:rsidRPr="00F55B97">
        <w:rPr>
          <w:lang w:val="fr-BE"/>
        </w:rPr>
        <w:t xml:space="preserve">, </w:t>
      </w:r>
      <w:r w:rsidR="00FC3920" w:rsidRPr="00365CC3">
        <w:rPr>
          <w:noProof/>
          <w:lang w:val="fr-BE" w:eastAsia="fr-BE"/>
        </w:rPr>
        <w:lastRenderedPageBreak/>
        <mc:AlternateContent>
          <mc:Choice Requires="wps">
            <w:drawing>
              <wp:anchor distT="0" distB="0" distL="114300" distR="114300" simplePos="0" relativeHeight="251658249" behindDoc="1" locked="0" layoutInCell="1" allowOverlap="1" wp14:anchorId="42F7D087" wp14:editId="75C4872F">
                <wp:simplePos x="0" y="0"/>
                <wp:positionH relativeFrom="column">
                  <wp:posOffset>-1047750</wp:posOffset>
                </wp:positionH>
                <wp:positionV relativeFrom="paragraph">
                  <wp:posOffset>-1162050</wp:posOffset>
                </wp:positionV>
                <wp:extent cx="7677150" cy="8086725"/>
                <wp:effectExtent l="0" t="0" r="0" b="9525"/>
                <wp:wrapNone/>
                <wp:docPr id="4" name="Rechthoek 5"/>
                <wp:cNvGraphicFramePr/>
                <a:graphic xmlns:a="http://schemas.openxmlformats.org/drawingml/2006/main">
                  <a:graphicData uri="http://schemas.microsoft.com/office/word/2010/wordprocessingShape">
                    <wps:wsp>
                      <wps:cNvSpPr/>
                      <wps:spPr>
                        <a:xfrm>
                          <a:off x="0" y="0"/>
                          <a:ext cx="7677150" cy="8086725"/>
                        </a:xfrm>
                        <a:prstGeom prst="rect">
                          <a:avLst/>
                        </a:prstGeom>
                        <a:solidFill>
                          <a:srgbClr val="F2D9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7D5C" id="Rechthoek 5" o:spid="_x0000_s1026" style="position:absolute;margin-left:-82.5pt;margin-top:-91.5pt;width:604.5pt;height:63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" fillcolor="#f2d9da" stroked="f" strokeweight="1pt"/>
            </w:pict>
          </mc:Fallback>
        </mc:AlternateContent>
      </w:r>
      <w:r w:rsidRPr="00F55B97">
        <w:rPr>
          <w:lang w:val="fr-BE"/>
        </w:rPr>
        <w:t>etc.). Cette formation serait réalisée en étroite collaboration avec le pharmacien coordinateur et conseiller et pourrait également s’appuyer, par exemple, sur les données de ce dernier en matière de délivrance de médicament</w:t>
      </w:r>
      <w:r>
        <w:rPr>
          <w:lang w:val="fr-BE"/>
        </w:rPr>
        <w:t>s</w:t>
      </w:r>
      <w:r w:rsidRPr="00F55B97">
        <w:rPr>
          <w:lang w:val="fr-BE"/>
        </w:rPr>
        <w:t xml:space="preserve"> à la maison de repos afin de permettre un feedback concernant les pratiques propres à la maison de repos. Cela pourrait ensuite permettre un feedback individuel et des entretiens privilégiés concernant la situation des résidents. </w:t>
      </w:r>
    </w:p>
    <w:p w14:paraId="27B60130" w14:textId="77777777" w:rsidR="00516894" w:rsidRDefault="00516894" w:rsidP="00516894">
      <w:pPr>
        <w:pStyle w:val="Paragraphedeliste"/>
        <w:numPr>
          <w:ilvl w:val="0"/>
          <w:numId w:val="0"/>
        </w:numPr>
        <w:ind w:left="714"/>
        <w:jc w:val="both"/>
        <w:rPr>
          <w:b/>
          <w:bCs/>
          <w:lang w:val="fr-BE"/>
        </w:rPr>
      </w:pPr>
    </w:p>
    <w:p w14:paraId="0C5844EA" w14:textId="0D3E28B7" w:rsidR="00516894" w:rsidRDefault="00516894" w:rsidP="00516894">
      <w:pPr>
        <w:pStyle w:val="Paragraphedeliste"/>
        <w:numPr>
          <w:ilvl w:val="0"/>
          <w:numId w:val="22"/>
        </w:numPr>
        <w:jc w:val="both"/>
        <w:rPr>
          <w:lang w:val="fr-BE"/>
        </w:rPr>
      </w:pPr>
      <w:r w:rsidRPr="00891F15">
        <w:rPr>
          <w:b/>
          <w:bCs/>
          <w:lang w:val="fr-BE"/>
        </w:rPr>
        <w:t xml:space="preserve">Une plus grande attention portée au bien-être en améliorant l’approche non-pharmacologique afin de réduire la consommation de médicaments. </w:t>
      </w:r>
      <w:r w:rsidRPr="00891F15">
        <w:rPr>
          <w:lang w:val="fr-BE"/>
        </w:rPr>
        <w:t>L’entrée en maison de repos représente un changement d’environnement qui peut être bouleversant pour la personne âgée. Cela peut générer un stress chez la personne âgée et influer sur son état physique et psychique si bien que la première solution apportée réside souvent dans la prescription de médicaments alors qu’on peut agir préventivement</w:t>
      </w:r>
      <w:r>
        <w:rPr>
          <w:lang w:val="fr-BE"/>
        </w:rPr>
        <w:t xml:space="preserve"> (préparation de l’entrée en maison de repos, accueil avec </w:t>
      </w:r>
      <w:r w:rsidRPr="00891F15">
        <w:rPr>
          <w:lang w:val="fr-BE"/>
        </w:rPr>
        <w:t>un accompagnement individuel</w:t>
      </w:r>
      <w:r>
        <w:rPr>
          <w:lang w:val="fr-BE"/>
        </w:rPr>
        <w:t>, a</w:t>
      </w:r>
      <w:r w:rsidRPr="00891F15">
        <w:rPr>
          <w:lang w:val="fr-BE"/>
        </w:rPr>
        <w:t xml:space="preserve">ttention particulière portée au bien-être du résident et aux activités </w:t>
      </w:r>
      <w:r>
        <w:rPr>
          <w:lang w:val="fr-BE"/>
        </w:rPr>
        <w:t xml:space="preserve">proposées, etc.). Ceci dans l’objectif que la personne âgée se sente moins isolée, qu’elle se sente globalement mieux, etc. car cela a indéniablement un impact cognitif important et peut directement influer la consommation de médicaments (cf. moins de tendance à exprimer des plaintes ou à réclamer des médicaments par exemple). </w:t>
      </w:r>
    </w:p>
    <w:p w14:paraId="31587A82" w14:textId="77777777" w:rsidR="00516894" w:rsidRDefault="00516894" w:rsidP="00516894">
      <w:pPr>
        <w:jc w:val="both"/>
        <w:rPr>
          <w:lang w:val="fr-BE"/>
        </w:rPr>
      </w:pPr>
    </w:p>
    <w:p w14:paraId="2A609B3B" w14:textId="77777777" w:rsidR="00516894" w:rsidRDefault="00516894" w:rsidP="00516894">
      <w:pPr>
        <w:spacing w:after="0"/>
        <w:jc w:val="both"/>
        <w:rPr>
          <w:lang w:val="fr-BE"/>
        </w:rPr>
      </w:pPr>
      <w:r>
        <w:rPr>
          <w:lang w:val="fr-BE"/>
        </w:rPr>
        <w:t xml:space="preserve">Au-delà de ces recommandations spécifiques au secteur, Solidaris plaide pour un changement de paradigme. La maison de repos ne doit plus être stigmatisée ou pointée du doigt comme un lieu de surconsommation systématique de médicaments, les évolutions du secteur ces dix dernières années en attestant. </w:t>
      </w:r>
    </w:p>
    <w:p w14:paraId="572FDD48" w14:textId="77777777" w:rsidR="00516894" w:rsidRDefault="00516894" w:rsidP="00516894">
      <w:pPr>
        <w:spacing w:after="0"/>
        <w:jc w:val="both"/>
        <w:rPr>
          <w:lang w:val="fr-BE"/>
        </w:rPr>
      </w:pPr>
    </w:p>
    <w:p w14:paraId="6248EB7F" w14:textId="77777777" w:rsidR="00516894" w:rsidRDefault="00516894" w:rsidP="00516894">
      <w:pPr>
        <w:spacing w:after="0"/>
        <w:jc w:val="both"/>
        <w:rPr>
          <w:lang w:val="fr-BE"/>
        </w:rPr>
      </w:pPr>
      <w:r>
        <w:rPr>
          <w:lang w:val="fr-BE"/>
        </w:rPr>
        <w:t xml:space="preserve">La question de la (sur)consommation de médicaments des personnes âgées doit être abordée de manière générale et doit faire l’objet d’une réelle politique de santé publique dans la mesure où il existe également des problèmes à domicile (cf. automédication et risques potentiels qui peuvent découler d’une consommation abusive/contre-indiquée de certains médicaments pris conjointement/etc., moins de surveillance médicamenteuse, coordination et concertation multidisciplinaire qui peut être moindre qu’en maison de repos, etc.). </w:t>
      </w:r>
    </w:p>
    <w:p w14:paraId="227F46E6" w14:textId="77777777" w:rsidR="00516894" w:rsidRDefault="00516894" w:rsidP="00516894">
      <w:pPr>
        <w:spacing w:after="0"/>
        <w:jc w:val="both"/>
        <w:rPr>
          <w:lang w:val="fr-BE"/>
        </w:rPr>
      </w:pPr>
    </w:p>
    <w:p w14:paraId="07CF9E47" w14:textId="77777777" w:rsidR="00516894" w:rsidRPr="002834FE" w:rsidRDefault="00516894" w:rsidP="00516894">
      <w:pPr>
        <w:spacing w:after="0"/>
        <w:jc w:val="both"/>
        <w:rPr>
          <w:lang w:val="fr-BE"/>
        </w:rPr>
      </w:pPr>
      <w:r>
        <w:rPr>
          <w:lang w:val="fr-BE"/>
        </w:rPr>
        <w:t>En ce sens, il s’agit que les bonnes pratiques appliquées en maison de repos puissent inspirer le secteur à domicile. Par exemple</w:t>
      </w:r>
      <w:r w:rsidRPr="002834FE">
        <w:rPr>
          <w:lang w:val="fr-BE"/>
        </w:rPr>
        <w:t xml:space="preserve">, la médication </w:t>
      </w:r>
      <w:r w:rsidRPr="002834FE">
        <w:rPr>
          <w:bCs/>
          <w:lang w:val="fr-BE"/>
        </w:rPr>
        <w:t xml:space="preserve">« sur mesure » répondant aux besoins individuels du patient âgé – via la préparation de médication individuelle ainsi que la tarification à l’unité -  pourrait être étendue aux personnes vivant à domicile. </w:t>
      </w:r>
      <w:r w:rsidRPr="002834FE">
        <w:rPr>
          <w:lang w:val="fr-BE"/>
        </w:rPr>
        <w:t>Cela permet</w:t>
      </w:r>
      <w:r>
        <w:rPr>
          <w:lang w:val="fr-BE"/>
        </w:rPr>
        <w:t>trait</w:t>
      </w:r>
      <w:r w:rsidRPr="002834FE">
        <w:rPr>
          <w:lang w:val="fr-BE"/>
        </w:rPr>
        <w:t xml:space="preserve"> d’éviter le gaspillage en adaptant la distribution aux besoins individuels mais aussi </w:t>
      </w:r>
      <w:r>
        <w:rPr>
          <w:lang w:val="fr-BE"/>
        </w:rPr>
        <w:t xml:space="preserve">de </w:t>
      </w:r>
      <w:r w:rsidRPr="002834FE">
        <w:rPr>
          <w:lang w:val="fr-BE"/>
        </w:rPr>
        <w:t xml:space="preserve">donner au pharmacien et au médecin traitant une vue précise sur l’historique thérapeutique du patient pour assurer un meilleur suivi et éviter l’utilisation abusive/contre-indiquée de médicaments. </w:t>
      </w:r>
    </w:p>
    <w:p w14:paraId="7F6CC959" w14:textId="77777777" w:rsidR="0026283F" w:rsidRPr="007B2D07" w:rsidRDefault="0026283F" w:rsidP="0093796F">
      <w:pPr>
        <w:pStyle w:val="Paragraphedeliste"/>
        <w:numPr>
          <w:ilvl w:val="0"/>
          <w:numId w:val="0"/>
        </w:numPr>
        <w:ind w:left="714"/>
        <w:jc w:val="both"/>
        <w:rPr>
          <w:lang w:val="fr-BE"/>
        </w:rPr>
      </w:pPr>
    </w:p>
    <w:p w14:paraId="552A1B77" w14:textId="77777777" w:rsidR="0035545C" w:rsidRPr="007B2D07" w:rsidRDefault="0035545C" w:rsidP="0035545C">
      <w:pPr>
        <w:pStyle w:val="Paragraphedeliste"/>
        <w:numPr>
          <w:ilvl w:val="0"/>
          <w:numId w:val="0"/>
        </w:numPr>
        <w:ind w:left="1066"/>
        <w:rPr>
          <w:lang w:val="fr-BE"/>
        </w:rPr>
      </w:pPr>
    </w:p>
    <w:p w14:paraId="566DA59C" w14:textId="7595554F" w:rsidR="0035545C" w:rsidRDefault="00C93BE3" w:rsidP="0035545C">
      <w:pPr>
        <w:pStyle w:val="Titre1"/>
        <w:numPr>
          <w:ilvl w:val="0"/>
          <w:numId w:val="0"/>
        </w:numPr>
        <w:rPr>
          <w:lang w:val="fr-BE"/>
        </w:rPr>
      </w:pPr>
      <w:r w:rsidRPr="007B2D07">
        <w:rPr>
          <w:lang w:val="fr-BE"/>
        </w:rPr>
        <w:br w:type="page"/>
      </w:r>
      <w:bookmarkStart w:id="25" w:name="_Toc130195930"/>
      <w:r w:rsidR="0035545C">
        <w:rPr>
          <w:lang w:val="fr-BE"/>
        </w:rPr>
        <w:lastRenderedPageBreak/>
        <w:t>Bibliographie</w:t>
      </w:r>
      <w:bookmarkEnd w:id="25"/>
    </w:p>
    <w:p w14:paraId="48C82DE2" w14:textId="77777777" w:rsidR="0035545C" w:rsidRDefault="0035545C" w:rsidP="0035545C">
      <w:pPr>
        <w:pStyle w:val="Notedebasdepage"/>
        <w:jc w:val="both"/>
        <w:rPr>
          <w:rFonts w:cs="Arial"/>
          <w:lang w:val="fr-BE"/>
        </w:rPr>
      </w:pPr>
    </w:p>
    <w:p w14:paraId="45482A2C" w14:textId="77777777" w:rsidR="0035545C" w:rsidRPr="0035545C" w:rsidRDefault="0035545C" w:rsidP="0035545C">
      <w:pPr>
        <w:pStyle w:val="Notedebasdepage"/>
        <w:jc w:val="both"/>
        <w:rPr>
          <w:rFonts w:cs="Arial"/>
          <w:lang w:val="fr-BE"/>
        </w:rPr>
      </w:pPr>
      <w:r w:rsidRPr="0035545C">
        <w:rPr>
          <w:rFonts w:cs="Arial"/>
          <w:lang w:val="fr-BE"/>
        </w:rPr>
        <w:t>Alliance Nationale des Mutualités Chrétiennes, 2011, « Consommation d’antidépresseurs et d’antipsychotiques en maisons de repos – Synthèse », Conférence de presse - 12 mai 2011.</w:t>
      </w:r>
    </w:p>
    <w:p w14:paraId="513C205D" w14:textId="77777777" w:rsidR="0035545C" w:rsidRDefault="0035545C" w:rsidP="0035545C">
      <w:pPr>
        <w:spacing w:after="0"/>
        <w:jc w:val="both"/>
        <w:rPr>
          <w:rFonts w:cs="Arial"/>
          <w:szCs w:val="20"/>
          <w:lang w:val="fr-BE"/>
        </w:rPr>
      </w:pPr>
    </w:p>
    <w:p w14:paraId="6BC5562F" w14:textId="77777777" w:rsidR="0035545C" w:rsidRDefault="0035545C" w:rsidP="0035545C">
      <w:pPr>
        <w:spacing w:after="0"/>
        <w:jc w:val="both"/>
        <w:rPr>
          <w:rFonts w:cs="Arial"/>
          <w:szCs w:val="20"/>
          <w:lang w:val="fr-BE"/>
        </w:rPr>
      </w:pPr>
      <w:r w:rsidRPr="0035545C">
        <w:rPr>
          <w:rFonts w:cs="Arial"/>
          <w:szCs w:val="20"/>
          <w:lang w:val="fr-BE"/>
        </w:rPr>
        <w:t>Boutsen, Maron, Vrancken, 2013, « Consommation de médicaments en maison de repos : une analyse longitudinale », UNMS - Direction Etudes, p. 19</w:t>
      </w:r>
    </w:p>
    <w:p w14:paraId="30BA59C6" w14:textId="77777777" w:rsidR="0035545C" w:rsidRPr="0035545C" w:rsidRDefault="0035545C" w:rsidP="0035545C">
      <w:pPr>
        <w:spacing w:after="0"/>
        <w:jc w:val="both"/>
        <w:rPr>
          <w:rFonts w:cs="Arial"/>
          <w:szCs w:val="20"/>
          <w:lang w:val="fr-BE"/>
        </w:rPr>
      </w:pPr>
    </w:p>
    <w:p w14:paraId="608D3BDA" w14:textId="77777777" w:rsidR="0035545C" w:rsidRDefault="0035545C" w:rsidP="0035545C">
      <w:pPr>
        <w:spacing w:after="0"/>
        <w:jc w:val="both"/>
        <w:rPr>
          <w:szCs w:val="20"/>
          <w:lang w:val="fr-BE"/>
        </w:rPr>
      </w:pPr>
      <w:r w:rsidRPr="0035545C">
        <w:rPr>
          <w:rFonts w:cs="Arial"/>
          <w:szCs w:val="20"/>
          <w:lang w:val="fr-BE"/>
        </w:rPr>
        <w:t xml:space="preserve">Callies et al., 2021,  « Surveillance Covid-19 en maisons de repos et maisons de repos et de soins », p. 39, </w:t>
      </w:r>
      <w:hyperlink r:id="rId20" w:history="1">
        <w:r w:rsidRPr="0035545C">
          <w:rPr>
            <w:rStyle w:val="Lienhypertexte"/>
            <w:szCs w:val="20"/>
            <w:lang w:val="fr-BE"/>
          </w:rPr>
          <w:t>SURVEILLANCE COVID-19 EN MAISONS DE REPOS ET MAISONS DE REPOS ET DE SOINS (sciensano.be)</w:t>
        </w:r>
      </w:hyperlink>
      <w:r w:rsidRPr="0035545C">
        <w:rPr>
          <w:szCs w:val="20"/>
          <w:lang w:val="fr-BE"/>
        </w:rPr>
        <w:t>.</w:t>
      </w:r>
    </w:p>
    <w:p w14:paraId="0400E0BD" w14:textId="77777777" w:rsidR="0035545C" w:rsidRPr="0035545C" w:rsidRDefault="0035545C" w:rsidP="0035545C">
      <w:pPr>
        <w:spacing w:after="0"/>
        <w:jc w:val="both"/>
        <w:rPr>
          <w:rFonts w:cs="Arial"/>
          <w:szCs w:val="20"/>
          <w:lang w:val="fr-BE"/>
        </w:rPr>
      </w:pPr>
    </w:p>
    <w:p w14:paraId="253DF276" w14:textId="77777777" w:rsidR="0035545C" w:rsidRPr="0035545C" w:rsidRDefault="0035545C" w:rsidP="0035545C">
      <w:pPr>
        <w:pStyle w:val="Notedebasdepage"/>
        <w:jc w:val="both"/>
        <w:rPr>
          <w:lang w:val="fr-BE"/>
        </w:rPr>
      </w:pPr>
      <w:r w:rsidRPr="0035545C">
        <w:rPr>
          <w:rFonts w:cs="Arial"/>
          <w:lang w:val="fr-BE"/>
        </w:rPr>
        <w:t>Centre Fédéral d’Expertise de Soins de Santé (KCE), 2006, « </w:t>
      </w:r>
      <w:r w:rsidRPr="0035545C">
        <w:rPr>
          <w:rFonts w:cs="Arial"/>
          <w:lang w:val="fr-FR"/>
        </w:rPr>
        <w:t>L'utilisation des médicaments dans les maisons de repos et les maisons de repos et de soins belges », KCE R</w:t>
      </w:r>
      <w:proofErr w:type="spellStart"/>
      <w:r w:rsidRPr="0035545C">
        <w:rPr>
          <w:rFonts w:cs="Arial"/>
          <w:lang w:val="fr-BE"/>
        </w:rPr>
        <w:t>eports</w:t>
      </w:r>
      <w:proofErr w:type="spellEnd"/>
      <w:r w:rsidRPr="0035545C">
        <w:rPr>
          <w:rFonts w:cs="Arial"/>
          <w:lang w:val="fr-BE"/>
        </w:rPr>
        <w:t xml:space="preserve"> vol.47B, </w:t>
      </w:r>
      <w:hyperlink r:id="rId21" w:history="1">
        <w:r w:rsidRPr="0035545C">
          <w:rPr>
            <w:rStyle w:val="Lienhypertexte"/>
            <w:lang w:val="fr-BE"/>
          </w:rPr>
          <w:t>L'utilisation des médicaments dans les maisons de repos et les maisons de repos et de soins belges | KCE (fgov.be)</w:t>
        </w:r>
      </w:hyperlink>
    </w:p>
    <w:p w14:paraId="548B71A8" w14:textId="77777777" w:rsidR="0035545C" w:rsidRPr="0035545C" w:rsidRDefault="0035545C" w:rsidP="0035545C">
      <w:pPr>
        <w:pStyle w:val="Notedebasdepage"/>
        <w:jc w:val="both"/>
        <w:rPr>
          <w:rFonts w:cs="Arial"/>
          <w:lang w:val="fr-BE"/>
        </w:rPr>
      </w:pPr>
    </w:p>
    <w:p w14:paraId="04941D3E" w14:textId="77777777" w:rsidR="0035545C" w:rsidRPr="0035545C" w:rsidRDefault="0035545C" w:rsidP="0035545C">
      <w:pPr>
        <w:pStyle w:val="Notedebasdepage"/>
        <w:jc w:val="both"/>
        <w:rPr>
          <w:rFonts w:cs="Arial"/>
          <w:lang w:val="fr-BE"/>
        </w:rPr>
      </w:pPr>
      <w:r w:rsidRPr="0035545C">
        <w:rPr>
          <w:rFonts w:cs="Arial"/>
          <w:lang w:val="fr-BE"/>
        </w:rPr>
        <w:t xml:space="preserve">Cornelis K., 2007, « Des grandes différences dans la consommation de médicaments en maisons de repos », Alliance Nationale des Mutualités Chrétiennes, </w:t>
      </w:r>
      <w:r w:rsidRPr="0035545C">
        <w:rPr>
          <w:rFonts w:cs="Arial"/>
          <w:i/>
          <w:lang w:val="fr-BE"/>
        </w:rPr>
        <w:t>MC-Information</w:t>
      </w:r>
      <w:r w:rsidRPr="0035545C">
        <w:rPr>
          <w:rFonts w:cs="Arial"/>
          <w:lang w:val="fr-BE"/>
        </w:rPr>
        <w:t>, n°229, p. 3-6.</w:t>
      </w:r>
    </w:p>
    <w:p w14:paraId="41327385" w14:textId="389695E2" w:rsidR="0035545C" w:rsidRDefault="0035545C" w:rsidP="0035545C">
      <w:pPr>
        <w:spacing w:after="0"/>
        <w:jc w:val="both"/>
        <w:rPr>
          <w:rFonts w:cs="Arial"/>
          <w:szCs w:val="20"/>
          <w:lang w:val="fr-BE"/>
        </w:rPr>
      </w:pPr>
    </w:p>
    <w:p w14:paraId="0267CCFC" w14:textId="3A00CAEB" w:rsidR="00322455" w:rsidRDefault="00322455" w:rsidP="0035545C">
      <w:pPr>
        <w:spacing w:after="0"/>
        <w:jc w:val="both"/>
        <w:rPr>
          <w:rFonts w:cs="Arial"/>
          <w:szCs w:val="20"/>
          <w:lang w:val="fr-BE"/>
        </w:rPr>
      </w:pPr>
      <w:r>
        <w:rPr>
          <w:rFonts w:cs="Arial"/>
          <w:szCs w:val="20"/>
          <w:lang w:val="fr-BE"/>
        </w:rPr>
        <w:t xml:space="preserve">Liages (Espace seniors), 2017, Actes de la conférence « La (dé)prescription des médicaments chez les seniors », Espace Seniors, Conférence du 23 octobre 2017, p. 42. </w:t>
      </w:r>
    </w:p>
    <w:p w14:paraId="4A16B148" w14:textId="77777777" w:rsidR="00322455" w:rsidRDefault="00322455" w:rsidP="0035545C">
      <w:pPr>
        <w:spacing w:after="0"/>
        <w:jc w:val="both"/>
        <w:rPr>
          <w:rFonts w:cs="Arial"/>
          <w:szCs w:val="20"/>
          <w:lang w:val="fr-BE"/>
        </w:rPr>
      </w:pPr>
    </w:p>
    <w:p w14:paraId="5C6055B0" w14:textId="63418045" w:rsidR="00B43A72" w:rsidRDefault="00B43A72" w:rsidP="0035545C">
      <w:pPr>
        <w:spacing w:after="0"/>
        <w:jc w:val="both"/>
        <w:rPr>
          <w:rFonts w:cs="Arial"/>
          <w:szCs w:val="20"/>
          <w:lang w:val="fr-BE"/>
        </w:rPr>
      </w:pPr>
      <w:proofErr w:type="spellStart"/>
      <w:r>
        <w:rPr>
          <w:rFonts w:cs="Arial"/>
          <w:szCs w:val="20"/>
          <w:lang w:val="fr-BE"/>
        </w:rPr>
        <w:t>Multipharma</w:t>
      </w:r>
      <w:proofErr w:type="spellEnd"/>
      <w:r>
        <w:rPr>
          <w:rFonts w:cs="Arial"/>
          <w:szCs w:val="20"/>
          <w:lang w:val="fr-BE"/>
        </w:rPr>
        <w:t xml:space="preserve"> (2023), « </w:t>
      </w:r>
      <w:proofErr w:type="spellStart"/>
      <w:r w:rsidRPr="00B43A72">
        <w:rPr>
          <w:rFonts w:cs="Arial"/>
          <w:szCs w:val="20"/>
          <w:lang w:val="fr-BE"/>
        </w:rPr>
        <w:t>Multipharma</w:t>
      </w:r>
      <w:proofErr w:type="spellEnd"/>
      <w:r w:rsidRPr="00B43A72">
        <w:rPr>
          <w:rFonts w:cs="Arial"/>
          <w:szCs w:val="20"/>
          <w:lang w:val="fr-BE"/>
        </w:rPr>
        <w:t xml:space="preserve"> introduit le pharmacien coordinateur et conseiller dans les maisons de repos et de soins</w:t>
      </w:r>
      <w:r>
        <w:rPr>
          <w:rFonts w:cs="Arial"/>
          <w:szCs w:val="20"/>
          <w:lang w:val="fr-BE"/>
        </w:rPr>
        <w:t xml:space="preserve"> », Communiqué de presse, 16 mars 2023, </w:t>
      </w:r>
      <w:hyperlink r:id="rId22" w:history="1">
        <w:r w:rsidRPr="005252BF">
          <w:rPr>
            <w:rStyle w:val="Lienhypertexte"/>
            <w:rFonts w:cs="Arial"/>
            <w:szCs w:val="20"/>
            <w:lang w:val="fr-BE"/>
          </w:rPr>
          <w:t>https://press.multipharma.be/multipharma-introduit-le-pharmacien-coordinateur-et-conseiller-dans-les-maisons-de-repos-et-de-soins</w:t>
        </w:r>
      </w:hyperlink>
      <w:r>
        <w:rPr>
          <w:rFonts w:cs="Arial"/>
          <w:szCs w:val="20"/>
          <w:lang w:val="fr-BE"/>
        </w:rPr>
        <w:t xml:space="preserve">. </w:t>
      </w:r>
    </w:p>
    <w:p w14:paraId="72000767" w14:textId="77777777" w:rsidR="00B43A72" w:rsidRPr="0035545C" w:rsidRDefault="00B43A72" w:rsidP="0035545C">
      <w:pPr>
        <w:spacing w:after="0"/>
        <w:jc w:val="both"/>
        <w:rPr>
          <w:rFonts w:cs="Arial"/>
          <w:szCs w:val="20"/>
          <w:lang w:val="fr-BE"/>
        </w:rPr>
      </w:pPr>
    </w:p>
    <w:p w14:paraId="47867E4C" w14:textId="6EB5EC9C" w:rsidR="0035545C" w:rsidRDefault="0035545C" w:rsidP="0035545C">
      <w:pPr>
        <w:spacing w:after="0"/>
        <w:jc w:val="both"/>
        <w:rPr>
          <w:szCs w:val="20"/>
          <w:lang w:val="fr-BE"/>
        </w:rPr>
      </w:pPr>
      <w:r w:rsidRPr="0035545C">
        <w:rPr>
          <w:rFonts w:cs="Arial"/>
          <w:szCs w:val="20"/>
          <w:lang w:val="fr-BE"/>
        </w:rPr>
        <w:t xml:space="preserve">Organisation de Coopération et de Développement Economiques, 2021, </w:t>
      </w:r>
      <w:proofErr w:type="spellStart"/>
      <w:r w:rsidRPr="0035545C">
        <w:rPr>
          <w:rFonts w:cs="Arial"/>
          <w:i/>
          <w:szCs w:val="20"/>
          <w:lang w:val="fr-BE"/>
        </w:rPr>
        <w:t>Health</w:t>
      </w:r>
      <w:proofErr w:type="spellEnd"/>
      <w:r w:rsidRPr="0035545C">
        <w:rPr>
          <w:rFonts w:cs="Arial"/>
          <w:i/>
          <w:szCs w:val="20"/>
          <w:lang w:val="fr-BE"/>
        </w:rPr>
        <w:t xml:space="preserve"> at a </w:t>
      </w:r>
      <w:proofErr w:type="spellStart"/>
      <w:r w:rsidRPr="0035545C">
        <w:rPr>
          <w:rFonts w:cs="Arial"/>
          <w:i/>
          <w:szCs w:val="20"/>
          <w:lang w:val="fr-BE"/>
        </w:rPr>
        <w:t>glance</w:t>
      </w:r>
      <w:proofErr w:type="spellEnd"/>
      <w:r w:rsidRPr="0035545C">
        <w:rPr>
          <w:rFonts w:cs="Arial"/>
          <w:szCs w:val="20"/>
          <w:lang w:val="fr-BE"/>
        </w:rPr>
        <w:t xml:space="preserve">, Publication OCDE, Paris, </w:t>
      </w:r>
      <w:hyperlink r:id="rId23" w:history="1">
        <w:r w:rsidRPr="0035545C">
          <w:rPr>
            <w:rStyle w:val="Lienhypertexte"/>
            <w:color w:val="auto"/>
            <w:szCs w:val="20"/>
            <w:lang w:val="fr-BE"/>
          </w:rPr>
          <w:t>https://stat.link/s5ah40</w:t>
        </w:r>
      </w:hyperlink>
      <w:r w:rsidRPr="0035545C">
        <w:rPr>
          <w:szCs w:val="20"/>
          <w:lang w:val="fr-BE"/>
        </w:rPr>
        <w:t>.</w:t>
      </w:r>
    </w:p>
    <w:p w14:paraId="44B6EC5D" w14:textId="77777777" w:rsidR="0035545C" w:rsidRPr="0035545C" w:rsidRDefault="0035545C" w:rsidP="0035545C">
      <w:pPr>
        <w:spacing w:after="0"/>
        <w:jc w:val="both"/>
        <w:rPr>
          <w:szCs w:val="20"/>
          <w:lang w:val="fr-BE"/>
        </w:rPr>
      </w:pPr>
    </w:p>
    <w:p w14:paraId="012069E3" w14:textId="68DB8F55" w:rsidR="0035545C" w:rsidRPr="003D6398" w:rsidRDefault="0035545C" w:rsidP="0035545C">
      <w:pPr>
        <w:spacing w:after="0"/>
        <w:jc w:val="both"/>
        <w:rPr>
          <w:szCs w:val="20"/>
          <w:lang w:val="fr-BE"/>
        </w:rPr>
      </w:pPr>
      <w:r w:rsidRPr="0035545C">
        <w:rPr>
          <w:rStyle w:val="Lienhypertexte"/>
          <w:color w:val="auto"/>
          <w:szCs w:val="20"/>
          <w:u w:val="none"/>
          <w:lang w:val="fr-BE"/>
        </w:rPr>
        <w:t>Van Duynsl</w:t>
      </w:r>
      <w:r w:rsidR="00322455">
        <w:rPr>
          <w:rStyle w:val="Lienhypertexte"/>
          <w:color w:val="auto"/>
          <w:szCs w:val="20"/>
          <w:u w:val="none"/>
          <w:lang w:val="fr-BE"/>
        </w:rPr>
        <w:t xml:space="preserve">aeger, Willaert et Vanoverloop </w:t>
      </w:r>
      <w:r w:rsidRPr="0035545C">
        <w:rPr>
          <w:rStyle w:val="Lienhypertexte"/>
          <w:color w:val="auto"/>
          <w:szCs w:val="20"/>
          <w:u w:val="none"/>
          <w:lang w:val="fr-BE"/>
        </w:rPr>
        <w:t>2022</w:t>
      </w:r>
      <w:r w:rsidR="00322455">
        <w:rPr>
          <w:rStyle w:val="Lienhypertexte"/>
          <w:color w:val="auto"/>
          <w:szCs w:val="20"/>
          <w:u w:val="none"/>
          <w:lang w:val="fr-BE"/>
        </w:rPr>
        <w:t>, « </w:t>
      </w:r>
      <w:r w:rsidRPr="0035545C">
        <w:rPr>
          <w:rStyle w:val="Lienhypertexte"/>
          <w:color w:val="auto"/>
          <w:szCs w:val="20"/>
          <w:u w:val="none"/>
          <w:lang w:val="fr-BE"/>
        </w:rPr>
        <w:t>Impact de la crise du coronavirus sur la consommation de médicaments</w:t>
      </w:r>
      <w:r w:rsidR="00322455">
        <w:rPr>
          <w:rStyle w:val="Lienhypertexte"/>
          <w:color w:val="auto"/>
          <w:szCs w:val="20"/>
          <w:u w:val="none"/>
          <w:lang w:val="fr-BE"/>
        </w:rPr>
        <w:t xml:space="preserve"> », </w:t>
      </w:r>
      <w:r w:rsidRPr="0035545C">
        <w:rPr>
          <w:rStyle w:val="Lienhypertexte"/>
          <w:szCs w:val="20"/>
          <w:lang w:val="fr-BE"/>
        </w:rPr>
        <w:t xml:space="preserve">Agence </w:t>
      </w:r>
      <w:proofErr w:type="spellStart"/>
      <w:r w:rsidRPr="0035545C">
        <w:rPr>
          <w:rStyle w:val="Lienhypertexte"/>
          <w:szCs w:val="20"/>
          <w:lang w:val="fr-BE"/>
        </w:rPr>
        <w:t>intermutualiste</w:t>
      </w:r>
      <w:proofErr w:type="spellEnd"/>
      <w:r w:rsidRPr="0035545C">
        <w:rPr>
          <w:rStyle w:val="Lienhypertexte"/>
          <w:szCs w:val="20"/>
          <w:lang w:val="fr-BE"/>
        </w:rPr>
        <w:t xml:space="preserve"> (AIM-IMA), p. 28, </w:t>
      </w:r>
      <w:hyperlink r:id="rId24" w:history="1">
        <w:r w:rsidRPr="0035545C">
          <w:rPr>
            <w:rStyle w:val="Lienhypertexte"/>
            <w:szCs w:val="20"/>
            <w:lang w:val="fr-BE"/>
          </w:rPr>
          <w:t>rapport_aim_-_impact_de_la_crise_du_coronavirus_sur_la_consommation_de_medicaments_-_fr.pdf (ima-aim.be)</w:t>
        </w:r>
      </w:hyperlink>
    </w:p>
    <w:p w14:paraId="6761EDE4" w14:textId="77777777" w:rsidR="0035545C" w:rsidRPr="0035545C" w:rsidRDefault="0035545C" w:rsidP="0035545C">
      <w:pPr>
        <w:spacing w:after="0"/>
        <w:jc w:val="both"/>
        <w:rPr>
          <w:rFonts w:cs="Arial"/>
          <w:szCs w:val="20"/>
          <w:lang w:val="fr-BE"/>
        </w:rPr>
      </w:pPr>
    </w:p>
    <w:p w14:paraId="538AC9C2" w14:textId="77777777" w:rsidR="0035545C" w:rsidRPr="0035545C" w:rsidRDefault="0035545C" w:rsidP="0035545C">
      <w:pPr>
        <w:pStyle w:val="Notedebasdepage"/>
        <w:jc w:val="both"/>
        <w:rPr>
          <w:lang w:val="fr-BE"/>
        </w:rPr>
      </w:pPr>
      <w:r w:rsidRPr="0035545C">
        <w:rPr>
          <w:lang w:val="fr-BE"/>
        </w:rPr>
        <w:t>Willaert, 2022, « </w:t>
      </w:r>
      <w:r w:rsidRPr="0035545C">
        <w:rPr>
          <w:iCs/>
          <w:lang w:val="fr-BE"/>
        </w:rPr>
        <w:t>Médicaments dans la dernière année de vie, Solidaris », Solidaris, p. 31,</w:t>
      </w:r>
      <w:r w:rsidRPr="0035545C">
        <w:rPr>
          <w:i/>
          <w:iCs/>
          <w:lang w:val="fr-BE"/>
        </w:rPr>
        <w:t xml:space="preserve">  </w:t>
      </w:r>
      <w:hyperlink r:id="rId25" w:history="1">
        <w:r w:rsidRPr="0035545C">
          <w:rPr>
            <w:rStyle w:val="Lienhypertexte"/>
            <w:lang w:val="fr-BE"/>
          </w:rPr>
          <w:t>https://corporate.solidaris-vlaanderen.be/wp-content/uploads/2022/03/Studierapport-Medicatie-laatste-levensjaar-202201.pdf</w:t>
        </w:r>
      </w:hyperlink>
      <w:r w:rsidRPr="0035545C">
        <w:rPr>
          <w:lang w:val="fr-BE"/>
        </w:rPr>
        <w:t>.</w:t>
      </w:r>
    </w:p>
    <w:p w14:paraId="2E250A90" w14:textId="32F03891" w:rsidR="002E304F" w:rsidRPr="00365CC3" w:rsidRDefault="002E304F" w:rsidP="0035545C">
      <w:pPr>
        <w:pStyle w:val="Titre1"/>
        <w:numPr>
          <w:ilvl w:val="0"/>
          <w:numId w:val="0"/>
        </w:numPr>
        <w:rPr>
          <w:lang w:val="fr-BE"/>
        </w:rPr>
      </w:pPr>
    </w:p>
    <w:sectPr w:rsidR="002E304F" w:rsidRPr="00365CC3" w:rsidSect="00366197">
      <w:headerReference w:type="default" r:id="rId26"/>
      <w:footerReference w:type="default" r:id="rId27"/>
      <w:footerReference w:type="first" r:id="rId2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76EB" w14:textId="77777777" w:rsidR="00411D24" w:rsidRDefault="00411D24" w:rsidP="006324E9">
      <w:pPr>
        <w:spacing w:after="0" w:line="240" w:lineRule="auto"/>
      </w:pPr>
      <w:r>
        <w:separator/>
      </w:r>
    </w:p>
  </w:endnote>
  <w:endnote w:type="continuationSeparator" w:id="0">
    <w:p w14:paraId="51EE23EB" w14:textId="77777777" w:rsidR="00411D24" w:rsidRDefault="00411D24" w:rsidP="006324E9">
      <w:pPr>
        <w:spacing w:after="0" w:line="240" w:lineRule="auto"/>
      </w:pPr>
      <w:r>
        <w:continuationSeparator/>
      </w:r>
    </w:p>
  </w:endnote>
  <w:endnote w:type="continuationNotice" w:id="1">
    <w:p w14:paraId="60C19BB1" w14:textId="77777777" w:rsidR="00411D24" w:rsidRDefault="00411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01974"/>
      <w:docPartObj>
        <w:docPartGallery w:val="Page Numbers (Bottom of Page)"/>
        <w:docPartUnique/>
      </w:docPartObj>
    </w:sdtPr>
    <w:sdtEndPr>
      <w:rPr>
        <w:szCs w:val="20"/>
      </w:rPr>
    </w:sdtEndPr>
    <w:sdtContent>
      <w:p w14:paraId="751AD1C3" w14:textId="77777777" w:rsidR="00DD000A" w:rsidRPr="009940C7" w:rsidRDefault="00DD000A" w:rsidP="005E3AB8">
        <w:pPr>
          <w:pStyle w:val="Pieddepage"/>
          <w:jc w:val="right"/>
          <w:rPr>
            <w:rFonts w:asciiTheme="minorHAnsi" w:hAnsiTheme="minorHAnsi"/>
            <w:sz w:val="22"/>
            <w:lang w:val="fr-BE"/>
          </w:rPr>
        </w:pPr>
        <w:r w:rsidRPr="007E3A72">
          <w:rPr>
            <w:noProof/>
            <w:lang w:val="fr-BE" w:eastAsia="fr-BE"/>
          </w:rPr>
          <w:drawing>
            <wp:anchor distT="0" distB="0" distL="114300" distR="114300" simplePos="0" relativeHeight="251658241" behindDoc="1" locked="0" layoutInCell="1" allowOverlap="1" wp14:anchorId="41F4EF17" wp14:editId="6C852DE1">
              <wp:simplePos x="0" y="0"/>
              <wp:positionH relativeFrom="column">
                <wp:posOffset>-85725</wp:posOffset>
              </wp:positionH>
              <wp:positionV relativeFrom="paragraph">
                <wp:posOffset>-3810</wp:posOffset>
              </wp:positionV>
              <wp:extent cx="1047750" cy="184785"/>
              <wp:effectExtent l="0" t="0" r="0" b="5715"/>
              <wp:wrapTight wrapText="bothSides">
                <wp:wrapPolygon edited="0">
                  <wp:start x="0" y="0"/>
                  <wp:lineTo x="0" y="20041"/>
                  <wp:lineTo x="21207" y="20041"/>
                  <wp:lineTo x="21207" y="0"/>
                  <wp:lineTo x="0" y="0"/>
                </wp:wrapPolygon>
              </wp:wrapTight>
              <wp:docPr id="1" name="Graphic 42">
                <a:extLst xmlns:a="http://schemas.openxmlformats.org/drawingml/2006/main">
                  <a:ext uri="{FF2B5EF4-FFF2-40B4-BE49-F238E27FC236}">
                    <a16:creationId xmlns:a16="http://schemas.microsoft.com/office/drawing/2014/main" id="{C8C3B7A9-7216-4DE8-A605-A91C2A030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8C3B7A9-7216-4DE8-A605-A91C2A030719}"/>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47750" cy="184785"/>
                      </a:xfrm>
                      <a:prstGeom prst="rect">
                        <a:avLst/>
                      </a:prstGeom>
                    </pic:spPr>
                  </pic:pic>
                </a:graphicData>
              </a:graphic>
            </wp:anchor>
          </w:drawing>
        </w:r>
        <w:r w:rsidRPr="009940C7">
          <w:rPr>
            <w:lang w:val="fr-BE"/>
          </w:rPr>
          <w:tab/>
        </w:r>
        <w:r w:rsidRPr="009940C7">
          <w:rPr>
            <w:b/>
            <w:bCs/>
            <w:lang w:val="fr-BE"/>
          </w:rPr>
          <w:t xml:space="preserve"> Solidaris</w:t>
        </w:r>
        <w:r w:rsidRPr="009940C7">
          <w:rPr>
            <w:lang w:val="fr-BE"/>
          </w:rPr>
          <w:t xml:space="preserve"> | Service Etudes et Politiques de Santé</w:t>
        </w:r>
        <w:r w:rsidRPr="009940C7">
          <w:rPr>
            <w:szCs w:val="20"/>
            <w:lang w:val="fr-BE"/>
          </w:rPr>
          <w:t xml:space="preserve"> | pag</w:t>
        </w:r>
        <w:r>
          <w:rPr>
            <w:szCs w:val="20"/>
            <w:lang w:val="fr-BE"/>
          </w:rPr>
          <w:t>e</w:t>
        </w:r>
        <w:r w:rsidRPr="009940C7">
          <w:rPr>
            <w:szCs w:val="20"/>
            <w:lang w:val="fr-BE"/>
          </w:rPr>
          <w:t xml:space="preserve"> </w:t>
        </w:r>
        <w:r w:rsidRPr="007E3A72">
          <w:rPr>
            <w:b/>
            <w:bCs/>
            <w:szCs w:val="20"/>
          </w:rPr>
          <w:fldChar w:fldCharType="begin"/>
        </w:r>
        <w:r w:rsidRPr="009940C7">
          <w:rPr>
            <w:b/>
            <w:bCs/>
            <w:szCs w:val="20"/>
            <w:lang w:val="fr-BE"/>
          </w:rPr>
          <w:instrText>PAGE   \* MERGEFORMAT</w:instrText>
        </w:r>
        <w:r w:rsidRPr="007E3A72">
          <w:rPr>
            <w:b/>
            <w:bCs/>
            <w:szCs w:val="20"/>
          </w:rPr>
          <w:fldChar w:fldCharType="separate"/>
        </w:r>
        <w:r w:rsidR="002646FC">
          <w:rPr>
            <w:b/>
            <w:bCs/>
            <w:noProof/>
            <w:szCs w:val="20"/>
            <w:lang w:val="fr-BE"/>
          </w:rPr>
          <w:t>1</w:t>
        </w:r>
        <w:r w:rsidRPr="007E3A72">
          <w:rPr>
            <w:b/>
            <w:bCs/>
            <w:szCs w:val="20"/>
          </w:rPr>
          <w:fldChar w:fldCharType="end"/>
        </w:r>
      </w:p>
    </w:sdtContent>
  </w:sdt>
  <w:p w14:paraId="20EE151C" w14:textId="77777777" w:rsidR="00DD000A" w:rsidRPr="009940C7" w:rsidRDefault="00DD000A" w:rsidP="005E3AB8">
    <w:pPr>
      <w:pStyle w:val="Pieddepage"/>
      <w:rPr>
        <w:lang w:val="fr-BE"/>
      </w:rPr>
    </w:pPr>
  </w:p>
  <w:p w14:paraId="68ACA2F8" w14:textId="77777777" w:rsidR="00DD000A" w:rsidRPr="009940C7" w:rsidRDefault="00DD000A" w:rsidP="005E3AB8">
    <w:pPr>
      <w:pStyle w:val="Pieddepage"/>
      <w:rPr>
        <w:lang w:val="fr-BE"/>
      </w:rPr>
    </w:pPr>
  </w:p>
  <w:p w14:paraId="769B68F0" w14:textId="77777777" w:rsidR="00DD000A" w:rsidRPr="005E3AB8" w:rsidRDefault="00DD000A">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085012"/>
      <w:docPartObj>
        <w:docPartGallery w:val="Page Numbers (Bottom of Page)"/>
        <w:docPartUnique/>
      </w:docPartObj>
    </w:sdtPr>
    <w:sdtEndPr>
      <w:rPr>
        <w:szCs w:val="20"/>
      </w:rPr>
    </w:sdtEndPr>
    <w:sdtContent>
      <w:p w14:paraId="22D7B18E" w14:textId="77777777" w:rsidR="00DD000A" w:rsidRPr="00FA453A" w:rsidRDefault="00DD000A" w:rsidP="00B72847">
        <w:pPr>
          <w:pStyle w:val="Pieddepage"/>
          <w:jc w:val="right"/>
          <w:rPr>
            <w:rFonts w:asciiTheme="minorHAnsi" w:hAnsiTheme="minorHAnsi"/>
            <w:sz w:val="22"/>
            <w:lang w:val="fr-BE"/>
          </w:rPr>
        </w:pPr>
        <w:r w:rsidRPr="007E3A72">
          <w:rPr>
            <w:noProof/>
            <w:lang w:val="fr-BE" w:eastAsia="fr-BE"/>
          </w:rPr>
          <w:drawing>
            <wp:anchor distT="0" distB="0" distL="114300" distR="114300" simplePos="0" relativeHeight="251658240" behindDoc="1" locked="0" layoutInCell="1" allowOverlap="1" wp14:anchorId="059B483E" wp14:editId="312F38BC">
              <wp:simplePos x="0" y="0"/>
              <wp:positionH relativeFrom="column">
                <wp:posOffset>-85725</wp:posOffset>
              </wp:positionH>
              <wp:positionV relativeFrom="paragraph">
                <wp:posOffset>-3810</wp:posOffset>
              </wp:positionV>
              <wp:extent cx="1047750" cy="184785"/>
              <wp:effectExtent l="0" t="0" r="0" b="5715"/>
              <wp:wrapTight wrapText="bothSides">
                <wp:wrapPolygon edited="0">
                  <wp:start x="0" y="0"/>
                  <wp:lineTo x="0" y="20041"/>
                  <wp:lineTo x="21207" y="20041"/>
                  <wp:lineTo x="21207" y="0"/>
                  <wp:lineTo x="0" y="0"/>
                </wp:wrapPolygon>
              </wp:wrapTight>
              <wp:docPr id="42" name="Graphic 42">
                <a:extLst xmlns:a="http://schemas.openxmlformats.org/drawingml/2006/main">
                  <a:ext uri="{FF2B5EF4-FFF2-40B4-BE49-F238E27FC236}">
                    <a16:creationId xmlns:a16="http://schemas.microsoft.com/office/drawing/2014/main" id="{C8C3B7A9-7216-4DE8-A605-A91C2A030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C8C3B7A9-7216-4DE8-A605-A91C2A030719}"/>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47750" cy="184785"/>
                      </a:xfrm>
                      <a:prstGeom prst="rect">
                        <a:avLst/>
                      </a:prstGeom>
                    </pic:spPr>
                  </pic:pic>
                </a:graphicData>
              </a:graphic>
            </wp:anchor>
          </w:drawing>
        </w:r>
        <w:r w:rsidRPr="00FA453A">
          <w:rPr>
            <w:lang w:val="fr-BE"/>
          </w:rPr>
          <w:tab/>
        </w:r>
        <w:r w:rsidRPr="00FA453A">
          <w:rPr>
            <w:b/>
            <w:bCs/>
            <w:lang w:val="fr-BE"/>
          </w:rPr>
          <w:t xml:space="preserve"> </w:t>
        </w:r>
        <w:proofErr w:type="spellStart"/>
        <w:r w:rsidRPr="00FA453A">
          <w:rPr>
            <w:b/>
            <w:bCs/>
            <w:lang w:val="fr-BE"/>
          </w:rPr>
          <w:t>Solidaris</w:t>
        </w:r>
        <w:proofErr w:type="spellEnd"/>
        <w:r w:rsidRPr="00FA453A">
          <w:rPr>
            <w:lang w:val="fr-BE"/>
          </w:rPr>
          <w:t xml:space="preserve"> |</w:t>
        </w:r>
        <w:r w:rsidR="00115E4F">
          <w:rPr>
            <w:lang w:val="fr-BE"/>
          </w:rPr>
          <w:t>Pôle</w:t>
        </w:r>
        <w:r w:rsidRPr="00FA453A">
          <w:rPr>
            <w:szCs w:val="20"/>
            <w:lang w:val="fr-BE"/>
          </w:rPr>
          <w:t xml:space="preserve"> Etudes et Politiques de S</w:t>
        </w:r>
        <w:r>
          <w:rPr>
            <w:szCs w:val="20"/>
            <w:lang w:val="fr-BE"/>
          </w:rPr>
          <w:t>anté</w:t>
        </w:r>
        <w:r w:rsidRPr="00FA453A">
          <w:rPr>
            <w:szCs w:val="20"/>
            <w:lang w:val="fr-BE"/>
          </w:rPr>
          <w:t xml:space="preserve"> | pag</w:t>
        </w:r>
        <w:r>
          <w:rPr>
            <w:szCs w:val="20"/>
            <w:lang w:val="fr-BE"/>
          </w:rPr>
          <w:t>e</w:t>
        </w:r>
        <w:r w:rsidRPr="00FA453A">
          <w:rPr>
            <w:szCs w:val="20"/>
            <w:lang w:val="fr-BE"/>
          </w:rPr>
          <w:t xml:space="preserve"> </w:t>
        </w:r>
        <w:r w:rsidRPr="007E3A72">
          <w:rPr>
            <w:b/>
            <w:bCs/>
            <w:szCs w:val="20"/>
          </w:rPr>
          <w:fldChar w:fldCharType="begin"/>
        </w:r>
        <w:r w:rsidRPr="00FA453A">
          <w:rPr>
            <w:b/>
            <w:bCs/>
            <w:szCs w:val="20"/>
            <w:lang w:val="fr-BE"/>
          </w:rPr>
          <w:instrText>PAGE   \* MERGEFORMAT</w:instrText>
        </w:r>
        <w:r w:rsidRPr="007E3A72">
          <w:rPr>
            <w:b/>
            <w:bCs/>
            <w:szCs w:val="20"/>
          </w:rPr>
          <w:fldChar w:fldCharType="separate"/>
        </w:r>
        <w:r w:rsidR="002646FC">
          <w:rPr>
            <w:b/>
            <w:bCs/>
            <w:noProof/>
            <w:szCs w:val="20"/>
            <w:lang w:val="fr-BE"/>
          </w:rPr>
          <w:t>19</w:t>
        </w:r>
        <w:r w:rsidRPr="007E3A72">
          <w:rPr>
            <w:b/>
            <w:bCs/>
            <w:szCs w:val="20"/>
          </w:rPr>
          <w:fldChar w:fldCharType="end"/>
        </w:r>
      </w:p>
    </w:sdtContent>
  </w:sdt>
  <w:p w14:paraId="47C35AF2" w14:textId="77777777" w:rsidR="00DD000A" w:rsidRPr="00FA453A" w:rsidRDefault="00DD000A">
    <w:pPr>
      <w:pStyle w:val="Pieddepage"/>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2DE1" w14:textId="77777777" w:rsidR="00DD000A" w:rsidRDefault="00DD000A" w:rsidP="0005640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FA55" w14:textId="77777777" w:rsidR="00411D24" w:rsidRDefault="00411D24" w:rsidP="006324E9">
      <w:pPr>
        <w:spacing w:after="0" w:line="240" w:lineRule="auto"/>
      </w:pPr>
      <w:r>
        <w:separator/>
      </w:r>
    </w:p>
  </w:footnote>
  <w:footnote w:type="continuationSeparator" w:id="0">
    <w:p w14:paraId="3F931AD1" w14:textId="77777777" w:rsidR="00411D24" w:rsidRDefault="00411D24" w:rsidP="006324E9">
      <w:pPr>
        <w:spacing w:after="0" w:line="240" w:lineRule="auto"/>
      </w:pPr>
      <w:r>
        <w:continuationSeparator/>
      </w:r>
    </w:p>
  </w:footnote>
  <w:footnote w:type="continuationNotice" w:id="1">
    <w:p w14:paraId="7018DE9A" w14:textId="77777777" w:rsidR="00411D24" w:rsidRDefault="00411D24">
      <w:pPr>
        <w:spacing w:after="0" w:line="240" w:lineRule="auto"/>
      </w:pPr>
    </w:p>
  </w:footnote>
  <w:footnote w:id="2">
    <w:p w14:paraId="3DC0270E" w14:textId="30E44D77" w:rsidR="00DD000A" w:rsidRPr="00E07250" w:rsidRDefault="00DD000A" w:rsidP="00C05FC0">
      <w:pPr>
        <w:pStyle w:val="Notedebasdepage"/>
        <w:jc w:val="both"/>
        <w:rPr>
          <w:sz w:val="18"/>
          <w:szCs w:val="18"/>
          <w:lang w:val="fr-BE"/>
        </w:rPr>
      </w:pPr>
      <w:r w:rsidRPr="00E07250">
        <w:rPr>
          <w:rStyle w:val="Appelnotedebasdep"/>
          <w:sz w:val="18"/>
          <w:szCs w:val="18"/>
        </w:rPr>
        <w:footnoteRef/>
      </w:r>
      <w:r w:rsidR="009A40AE" w:rsidRPr="00E07250">
        <w:rPr>
          <w:sz w:val="18"/>
          <w:szCs w:val="18"/>
          <w:lang w:val="fr-BE"/>
        </w:rPr>
        <w:t xml:space="preserve"> </w:t>
      </w:r>
      <w:r w:rsidR="00C5161E" w:rsidRPr="00E07250">
        <w:rPr>
          <w:sz w:val="18"/>
          <w:szCs w:val="18"/>
          <w:lang w:val="fr-BE"/>
        </w:rPr>
        <w:t>M</w:t>
      </w:r>
      <w:r w:rsidRPr="00E07250">
        <w:rPr>
          <w:sz w:val="18"/>
          <w:szCs w:val="18"/>
          <w:lang w:val="fr-BE"/>
        </w:rPr>
        <w:t>esurés en parité de pouvoir d’achat (PPA).</w:t>
      </w:r>
    </w:p>
  </w:footnote>
  <w:footnote w:id="3">
    <w:p w14:paraId="533212AB" w14:textId="77777777" w:rsidR="00DD000A" w:rsidRPr="00E07250" w:rsidRDefault="00DD000A" w:rsidP="00C05FC0">
      <w:pPr>
        <w:pStyle w:val="Notedebasdepage"/>
        <w:jc w:val="both"/>
        <w:rPr>
          <w:rFonts w:cs="Arial"/>
          <w:sz w:val="18"/>
          <w:szCs w:val="18"/>
          <w:lang w:val="fr-BE"/>
        </w:rPr>
      </w:pPr>
      <w:r w:rsidRPr="00E07250">
        <w:rPr>
          <w:rStyle w:val="Appelnotedebasdep"/>
          <w:rFonts w:cs="Arial"/>
          <w:sz w:val="18"/>
          <w:szCs w:val="18"/>
        </w:rPr>
        <w:footnoteRef/>
      </w:r>
      <w:r w:rsidRPr="00E07250">
        <w:rPr>
          <w:rFonts w:cs="Arial"/>
          <w:sz w:val="18"/>
          <w:szCs w:val="18"/>
          <w:lang w:val="fr-BE"/>
        </w:rPr>
        <w:t xml:space="preserve"> A l’exception des médicaments prescrits dans le cadre d’une hospitalisation.</w:t>
      </w:r>
    </w:p>
  </w:footnote>
  <w:footnote w:id="4">
    <w:p w14:paraId="43030935" w14:textId="77777777" w:rsidR="00DD000A" w:rsidRPr="00E07250" w:rsidRDefault="00DD000A" w:rsidP="00C05FC0">
      <w:pPr>
        <w:pStyle w:val="Notedebasdepage"/>
        <w:jc w:val="both"/>
        <w:rPr>
          <w:rFonts w:cs="Arial"/>
          <w:sz w:val="18"/>
          <w:szCs w:val="18"/>
          <w:lang w:val="fr-BE"/>
        </w:rPr>
      </w:pPr>
      <w:r w:rsidRPr="00E07250">
        <w:rPr>
          <w:rStyle w:val="Appelnotedebasdep"/>
          <w:rFonts w:cs="Arial"/>
          <w:sz w:val="18"/>
          <w:szCs w:val="18"/>
        </w:rPr>
        <w:footnoteRef/>
      </w:r>
      <w:r w:rsidRPr="00E07250">
        <w:rPr>
          <w:rFonts w:cs="Arial"/>
          <w:sz w:val="18"/>
          <w:szCs w:val="18"/>
          <w:lang w:val="fr-BE"/>
        </w:rPr>
        <w:t xml:space="preserve"> OCDE (2021).</w:t>
      </w:r>
    </w:p>
  </w:footnote>
  <w:footnote w:id="5">
    <w:p w14:paraId="60D84CBF" w14:textId="7D20C6FA" w:rsidR="00DD000A" w:rsidRPr="00E07250" w:rsidRDefault="00DD000A" w:rsidP="004D1997">
      <w:pPr>
        <w:pStyle w:val="Notedebasdepage"/>
        <w:jc w:val="both"/>
        <w:rPr>
          <w:sz w:val="18"/>
          <w:szCs w:val="18"/>
          <w:lang w:val="fr-BE"/>
        </w:rPr>
      </w:pPr>
      <w:r w:rsidRPr="00E07250">
        <w:rPr>
          <w:rStyle w:val="Appelnotedebasdep"/>
          <w:sz w:val="18"/>
          <w:szCs w:val="18"/>
        </w:rPr>
        <w:footnoteRef/>
      </w:r>
      <w:r w:rsidRPr="00E07250">
        <w:rPr>
          <w:sz w:val="18"/>
          <w:szCs w:val="18"/>
          <w:lang w:val="fr-BE"/>
        </w:rPr>
        <w:t xml:space="preserve"> Cette consommation est mesurée en dose quotidienne de traitement. La dose journalière définie (</w:t>
      </w:r>
      <w:proofErr w:type="spellStart"/>
      <w:r w:rsidRPr="00E07250">
        <w:rPr>
          <w:sz w:val="18"/>
          <w:szCs w:val="18"/>
          <w:lang w:val="fr-BE"/>
        </w:rPr>
        <w:t>Definely</w:t>
      </w:r>
      <w:proofErr w:type="spellEnd"/>
      <w:r w:rsidRPr="00E07250">
        <w:rPr>
          <w:sz w:val="18"/>
          <w:szCs w:val="18"/>
          <w:lang w:val="fr-BE"/>
        </w:rPr>
        <w:t xml:space="preserve"> Daily Dose) est une unité définie par l'Organisation mondiale de la santé, et correspond à la dose de traitement pour un jour d'un médicament pour l'indication principale chez les adultes (voir le </w:t>
      </w:r>
      <w:r w:rsidR="00000000">
        <w:fldChar w:fldCharType="begin"/>
      </w:r>
      <w:r w:rsidR="00000000" w:rsidRPr="002149EF">
        <w:rPr>
          <w:lang w:val="fr-BE"/>
        </w:rPr>
        <w:instrText xml:space="preserve"> HYPERLINK "https://www.who.int/tools/atc-ddd-toolkit/about-ddd" </w:instrText>
      </w:r>
      <w:r w:rsidR="00000000">
        <w:fldChar w:fldCharType="separate"/>
      </w:r>
      <w:r w:rsidRPr="00E07250">
        <w:rPr>
          <w:rStyle w:val="Lienhypertexte"/>
          <w:color w:val="auto"/>
          <w:sz w:val="18"/>
          <w:szCs w:val="18"/>
          <w:lang w:val="fr-BE"/>
        </w:rPr>
        <w:t>site web de l'OMS</w:t>
      </w:r>
      <w:r w:rsidR="00000000">
        <w:rPr>
          <w:rStyle w:val="Lienhypertexte"/>
          <w:color w:val="auto"/>
          <w:sz w:val="18"/>
          <w:szCs w:val="18"/>
          <w:lang w:val="fr-BE"/>
        </w:rPr>
        <w:fldChar w:fldCharType="end"/>
      </w:r>
      <w:r w:rsidRPr="00E07250">
        <w:rPr>
          <w:sz w:val="18"/>
          <w:szCs w:val="18"/>
          <w:lang w:val="fr-BE"/>
        </w:rPr>
        <w:t>).</w:t>
      </w:r>
    </w:p>
  </w:footnote>
  <w:footnote w:id="6">
    <w:p w14:paraId="6684FCFC" w14:textId="77777777" w:rsidR="00DD000A" w:rsidRPr="00E07250" w:rsidRDefault="00DD000A" w:rsidP="004D1997">
      <w:pPr>
        <w:pStyle w:val="Notedebasdepage"/>
        <w:jc w:val="both"/>
        <w:rPr>
          <w:rFonts w:cs="Arial"/>
          <w:sz w:val="18"/>
          <w:szCs w:val="18"/>
          <w:lang w:val="fr-BE"/>
        </w:rPr>
      </w:pPr>
      <w:r w:rsidRPr="00E07250">
        <w:rPr>
          <w:rStyle w:val="Appelnotedebasdep"/>
          <w:rFonts w:cs="Arial"/>
          <w:sz w:val="18"/>
          <w:szCs w:val="18"/>
        </w:rPr>
        <w:footnoteRef/>
      </w:r>
      <w:r w:rsidRPr="00E07250">
        <w:rPr>
          <w:rFonts w:cs="Arial"/>
          <w:sz w:val="18"/>
          <w:szCs w:val="18"/>
          <w:lang w:val="fr-BE"/>
        </w:rPr>
        <w:t xml:space="preserve"> KCE (2006).</w:t>
      </w:r>
    </w:p>
  </w:footnote>
  <w:footnote w:id="7">
    <w:p w14:paraId="27F819FC" w14:textId="4DD62EA6" w:rsidR="00DD000A" w:rsidRPr="00E07250" w:rsidRDefault="00DD000A" w:rsidP="004D1997">
      <w:pPr>
        <w:pStyle w:val="Notedebasdepage"/>
        <w:jc w:val="both"/>
        <w:rPr>
          <w:sz w:val="18"/>
          <w:szCs w:val="18"/>
          <w:lang w:val="fr-BE"/>
        </w:rPr>
      </w:pPr>
      <w:r w:rsidRPr="00E07250">
        <w:rPr>
          <w:rStyle w:val="Appelnotedebasdep"/>
          <w:sz w:val="18"/>
          <w:szCs w:val="18"/>
        </w:rPr>
        <w:footnoteRef/>
      </w:r>
      <w:r w:rsidRPr="00E07250">
        <w:rPr>
          <w:sz w:val="18"/>
          <w:szCs w:val="18"/>
          <w:lang w:val="fr-BE"/>
        </w:rPr>
        <w:t xml:space="preserve"> Solidaris (2022).</w:t>
      </w:r>
    </w:p>
  </w:footnote>
  <w:footnote w:id="8">
    <w:p w14:paraId="16EA3B5F" w14:textId="77777777" w:rsidR="00DD000A" w:rsidRPr="00E07250" w:rsidRDefault="00DD000A" w:rsidP="004D1997">
      <w:pPr>
        <w:pStyle w:val="Notedebasdepage"/>
        <w:jc w:val="both"/>
        <w:rPr>
          <w:rFonts w:cs="Arial"/>
          <w:sz w:val="18"/>
          <w:szCs w:val="18"/>
          <w:lang w:val="fr-BE"/>
        </w:rPr>
      </w:pPr>
      <w:r w:rsidRPr="00E07250">
        <w:rPr>
          <w:rStyle w:val="Appelnotedebasdep"/>
          <w:rFonts w:cs="Arial"/>
          <w:sz w:val="18"/>
          <w:szCs w:val="18"/>
        </w:rPr>
        <w:footnoteRef/>
      </w:r>
      <w:r w:rsidRPr="00E07250">
        <w:rPr>
          <w:rFonts w:cs="Arial"/>
          <w:sz w:val="18"/>
          <w:szCs w:val="18"/>
          <w:lang w:val="fr-BE"/>
        </w:rPr>
        <w:t xml:space="preserve"> ANMC (2011), KCE (2006), Cornelis (2007).</w:t>
      </w:r>
    </w:p>
  </w:footnote>
  <w:footnote w:id="9">
    <w:p w14:paraId="32F46D99" w14:textId="77777777" w:rsidR="00DD000A" w:rsidRPr="00E07250" w:rsidRDefault="00DD000A" w:rsidP="004D1997">
      <w:pPr>
        <w:pStyle w:val="Notedebasdepage"/>
        <w:jc w:val="both"/>
        <w:rPr>
          <w:rFonts w:ascii="Arial" w:hAnsi="Arial" w:cs="Arial"/>
          <w:sz w:val="18"/>
          <w:szCs w:val="18"/>
          <w:lang w:val="fr-BE"/>
        </w:rPr>
      </w:pPr>
      <w:r w:rsidRPr="00E07250">
        <w:rPr>
          <w:rStyle w:val="Appelnotedebasdep"/>
          <w:rFonts w:cs="Arial"/>
          <w:sz w:val="18"/>
          <w:szCs w:val="18"/>
        </w:rPr>
        <w:footnoteRef/>
      </w:r>
      <w:r w:rsidRPr="00E07250">
        <w:rPr>
          <w:rFonts w:cs="Arial"/>
          <w:sz w:val="18"/>
          <w:szCs w:val="18"/>
          <w:lang w:val="fr-BE"/>
        </w:rPr>
        <w:t xml:space="preserve"> Boutsen, Maron, Vrancken (2013), « Consommation de médicaments en maison de repos : une analyse longitudinale », UNMS - Direction Etudes, p. 19.</w:t>
      </w:r>
    </w:p>
  </w:footnote>
  <w:footnote w:id="10">
    <w:p w14:paraId="13A8BD26" w14:textId="442B0A3E" w:rsidR="00DD000A" w:rsidRPr="003D3867" w:rsidRDefault="00DD000A" w:rsidP="004D1997">
      <w:pPr>
        <w:pStyle w:val="Notedebasdepage"/>
        <w:jc w:val="both"/>
        <w:rPr>
          <w:lang w:val="fr-BE"/>
        </w:rPr>
      </w:pPr>
      <w:r w:rsidRPr="00E07250">
        <w:rPr>
          <w:rStyle w:val="Appelnotedebasdep"/>
          <w:sz w:val="18"/>
          <w:szCs w:val="18"/>
        </w:rPr>
        <w:footnoteRef/>
      </w:r>
      <w:r w:rsidRPr="00E07250">
        <w:rPr>
          <w:sz w:val="18"/>
          <w:szCs w:val="18"/>
          <w:lang w:val="fr-BE"/>
        </w:rPr>
        <w:t xml:space="preserve"> Les personnes ayant droit à une intervention majorée bénéficient d'un remboursement plus élevé des frais de santé. Ce droit peut être obtenu de trois manières différentes : (1) en percevant une prestation sociale spécifique (revenu d'intégration, garantie de revenu pour les personnes âgées, allocation pour les personnes handicapées, supplément pour un enfant présentant un handicap reconnu d'au moins 66 %), (2) en tant que mineur étranger non accompagné ou orphelin, et (3) en ayant un revenu inférieur à un seuil limite.</w:t>
      </w:r>
    </w:p>
  </w:footnote>
  <w:footnote w:id="11">
    <w:p w14:paraId="49B5CACE" w14:textId="2EC52D77" w:rsidR="00DD000A" w:rsidRPr="00B361D0" w:rsidRDefault="00DD000A" w:rsidP="008D7F6A">
      <w:pPr>
        <w:pStyle w:val="Notedebasdepage"/>
        <w:jc w:val="both"/>
        <w:rPr>
          <w:sz w:val="18"/>
          <w:szCs w:val="18"/>
          <w:lang w:val="fr-BE"/>
        </w:rPr>
      </w:pPr>
      <w:r w:rsidRPr="00B361D0">
        <w:rPr>
          <w:rStyle w:val="Appelnotedebasdep"/>
          <w:sz w:val="18"/>
          <w:szCs w:val="18"/>
        </w:rPr>
        <w:footnoteRef/>
      </w:r>
      <w:r w:rsidRPr="00B361D0">
        <w:rPr>
          <w:sz w:val="18"/>
          <w:szCs w:val="18"/>
          <w:lang w:val="fr-BE"/>
        </w:rPr>
        <w:t xml:space="preserve"> En chiffres absolus, cela concerne environ 3,3 millions d’affiliés (28,5% de l'ensemble de la population affiliée à une mutualité en Belgique).</w:t>
      </w:r>
    </w:p>
  </w:footnote>
  <w:footnote w:id="12">
    <w:p w14:paraId="629F5098" w14:textId="77777777" w:rsidR="00DD000A" w:rsidRPr="008D4412" w:rsidRDefault="00DD000A" w:rsidP="003325BE">
      <w:pPr>
        <w:pStyle w:val="Notedebasdepage"/>
        <w:jc w:val="both"/>
        <w:rPr>
          <w:rFonts w:ascii="Arial" w:hAnsi="Arial" w:cs="Arial"/>
          <w:sz w:val="18"/>
          <w:szCs w:val="18"/>
          <w:lang w:val="fr-BE"/>
        </w:rPr>
      </w:pPr>
      <w:r w:rsidRPr="00B361D0">
        <w:rPr>
          <w:rStyle w:val="Appelnotedebasdep"/>
          <w:rFonts w:cs="Arial"/>
          <w:sz w:val="18"/>
          <w:szCs w:val="18"/>
        </w:rPr>
        <w:footnoteRef/>
      </w:r>
      <w:r w:rsidRPr="00B361D0">
        <w:rPr>
          <w:rFonts w:cs="Arial"/>
          <w:sz w:val="18"/>
          <w:szCs w:val="18"/>
          <w:lang w:val="fr-BE"/>
        </w:rPr>
        <w:t xml:space="preserve"> La classification ATC (pour </w:t>
      </w:r>
      <w:proofErr w:type="spellStart"/>
      <w:r w:rsidRPr="00B361D0">
        <w:rPr>
          <w:rFonts w:cs="Arial"/>
          <w:sz w:val="18"/>
          <w:szCs w:val="18"/>
          <w:lang w:val="fr-BE"/>
        </w:rPr>
        <w:t>Anatomical</w:t>
      </w:r>
      <w:proofErr w:type="spellEnd"/>
      <w:r w:rsidRPr="00B361D0">
        <w:rPr>
          <w:rFonts w:cs="Arial"/>
          <w:sz w:val="18"/>
          <w:szCs w:val="18"/>
          <w:lang w:val="fr-BE"/>
        </w:rPr>
        <w:t xml:space="preserve"> </w:t>
      </w:r>
      <w:proofErr w:type="spellStart"/>
      <w:r w:rsidRPr="00B361D0">
        <w:rPr>
          <w:rFonts w:cs="Arial"/>
          <w:sz w:val="18"/>
          <w:szCs w:val="18"/>
          <w:lang w:val="fr-BE"/>
        </w:rPr>
        <w:t>Therapeutic</w:t>
      </w:r>
      <w:proofErr w:type="spellEnd"/>
      <w:r w:rsidRPr="00B361D0">
        <w:rPr>
          <w:rFonts w:cs="Arial"/>
          <w:sz w:val="18"/>
          <w:szCs w:val="18"/>
          <w:lang w:val="fr-BE"/>
        </w:rPr>
        <w:t xml:space="preserve"> Chemical) est un système de classification hiérarchique des molécules en 5 niveaux, mis au point et recommandé par l’Organisation Mondiale de la Santé lorsqu’on étudie la consommation de médicaments. Dans cette classification, les médicaments sont divisés en différents groupes selon l’organe ou le système sur lequel ils agissent et leurs propriétés chimiques, pharmacologiques et thérapeutiques.</w:t>
      </w:r>
    </w:p>
  </w:footnote>
  <w:footnote w:id="13">
    <w:p w14:paraId="2AE25C0C" w14:textId="1D3C0D88" w:rsidR="00DD000A" w:rsidRPr="008F3433" w:rsidRDefault="00DD000A" w:rsidP="00B361D0">
      <w:pPr>
        <w:pStyle w:val="Notedebasdepage"/>
        <w:rPr>
          <w:sz w:val="18"/>
          <w:szCs w:val="18"/>
          <w:lang w:val="fr-BE"/>
        </w:rPr>
      </w:pPr>
      <w:r w:rsidRPr="008F3433">
        <w:rPr>
          <w:rStyle w:val="Appelnotedebasdep"/>
          <w:sz w:val="18"/>
          <w:szCs w:val="18"/>
        </w:rPr>
        <w:footnoteRef/>
      </w:r>
      <w:r w:rsidRPr="008F3433">
        <w:rPr>
          <w:sz w:val="18"/>
          <w:szCs w:val="18"/>
          <w:lang w:val="fr-BE"/>
        </w:rPr>
        <w:t xml:space="preserve"> Les séjours de courte durée dans les maisons de repos ont été exclus.</w:t>
      </w:r>
    </w:p>
  </w:footnote>
  <w:footnote w:id="14">
    <w:p w14:paraId="2EA9A816" w14:textId="77777777" w:rsidR="00DD000A" w:rsidRPr="007B5C67" w:rsidRDefault="00DD000A" w:rsidP="003B2921">
      <w:pPr>
        <w:pStyle w:val="Notedebasdepage"/>
        <w:jc w:val="both"/>
        <w:rPr>
          <w:lang w:val="fr-BE"/>
        </w:rPr>
      </w:pPr>
      <w:r w:rsidRPr="007B5C67">
        <w:rPr>
          <w:rStyle w:val="Appelnotedebasdep"/>
          <w:rFonts w:cs="Arial"/>
          <w:sz w:val="18"/>
          <w:szCs w:val="18"/>
        </w:rPr>
        <w:footnoteRef/>
      </w:r>
      <w:r w:rsidRPr="007B5C67">
        <w:rPr>
          <w:rFonts w:cs="Arial"/>
          <w:sz w:val="18"/>
          <w:szCs w:val="18"/>
          <w:lang w:val="fr-BE"/>
        </w:rPr>
        <w:t xml:space="preserve"> Dans l’analyse, nous considérons les séjours dans les maisons de repos et de soins (MRS) ainsi que dans les maisons de repos pour personnes âgées (MRPA), à l'exclusion des séjours de courte durée. Par ailleurs, afin de ne pas biaiser la consommation de médicaments, nous excluons de l’analyse les personnes décédées avant le 30 juin 2021.</w:t>
      </w:r>
    </w:p>
  </w:footnote>
  <w:footnote w:id="15">
    <w:p w14:paraId="055741FD" w14:textId="77777777" w:rsidR="00DD000A" w:rsidRPr="00B84DF9" w:rsidRDefault="00DD000A" w:rsidP="0095797A">
      <w:pPr>
        <w:pStyle w:val="Notedebasdepage"/>
        <w:jc w:val="both"/>
        <w:rPr>
          <w:rFonts w:ascii="Arial" w:hAnsi="Arial" w:cs="Arial"/>
          <w:sz w:val="18"/>
          <w:szCs w:val="18"/>
          <w:lang w:val="fr-BE"/>
        </w:rPr>
      </w:pPr>
      <w:r w:rsidRPr="007B5C67">
        <w:rPr>
          <w:rStyle w:val="Appelnotedebasdep"/>
          <w:rFonts w:cs="Arial"/>
          <w:sz w:val="18"/>
          <w:szCs w:val="18"/>
        </w:rPr>
        <w:footnoteRef/>
      </w:r>
      <w:r w:rsidRPr="007B5C67">
        <w:rPr>
          <w:rFonts w:cs="Arial"/>
          <w:sz w:val="18"/>
          <w:szCs w:val="18"/>
          <w:lang w:val="fr-BE"/>
        </w:rPr>
        <w:t xml:space="preserve"> Soit les personnes qui ont 70 ans ou plus au 31/12/2020, affiliés chez Solidaris au 30/6/2020, 31/12/2021, 30/6/2021 et 31/12/2021, et qui ne sont pas décédées avant le 1</w:t>
      </w:r>
      <w:r w:rsidRPr="007B5C67">
        <w:rPr>
          <w:rFonts w:cs="Arial"/>
          <w:sz w:val="18"/>
          <w:szCs w:val="18"/>
          <w:vertAlign w:val="superscript"/>
          <w:lang w:val="fr-BE"/>
        </w:rPr>
        <w:t>er</w:t>
      </w:r>
      <w:r w:rsidRPr="007B5C67">
        <w:rPr>
          <w:rFonts w:cs="Arial"/>
          <w:sz w:val="18"/>
          <w:szCs w:val="18"/>
          <w:lang w:val="fr-BE"/>
        </w:rPr>
        <w:t xml:space="preserve"> janvier 2022.</w:t>
      </w:r>
    </w:p>
  </w:footnote>
  <w:footnote w:id="16">
    <w:p w14:paraId="277C2DA0" w14:textId="77777777" w:rsidR="00DD000A" w:rsidRPr="00235AAA" w:rsidRDefault="00DD000A" w:rsidP="00884A43">
      <w:pPr>
        <w:pStyle w:val="Notedebasdepage"/>
        <w:jc w:val="both"/>
        <w:rPr>
          <w:sz w:val="18"/>
          <w:szCs w:val="18"/>
          <w:lang w:val="fr-BE"/>
        </w:rPr>
      </w:pPr>
      <w:r w:rsidRPr="00235AAA">
        <w:rPr>
          <w:rStyle w:val="Appelnotedebasdep"/>
          <w:rFonts w:cs="Arial"/>
          <w:sz w:val="18"/>
          <w:szCs w:val="18"/>
        </w:rPr>
        <w:footnoteRef/>
      </w:r>
      <w:r w:rsidRPr="00235AAA">
        <w:rPr>
          <w:rFonts w:cs="Arial"/>
          <w:sz w:val="18"/>
          <w:szCs w:val="18"/>
          <w:lang w:val="fr-BE"/>
        </w:rPr>
        <w:t xml:space="preserve"> Ce statut est octroyé aux personnes à bas revenus et leur permet de bénéficier d’un remboursement majoré des soins de santé et d’autres avantages.</w:t>
      </w:r>
    </w:p>
  </w:footnote>
  <w:footnote w:id="17">
    <w:p w14:paraId="4CC96E67" w14:textId="38FC0C44" w:rsidR="00DD000A" w:rsidRPr="003D6398" w:rsidRDefault="00DD000A">
      <w:pPr>
        <w:pStyle w:val="Notedebasdepage"/>
        <w:rPr>
          <w:lang w:val="fr-BE"/>
        </w:rPr>
      </w:pPr>
      <w:r w:rsidRPr="00235AAA">
        <w:rPr>
          <w:rStyle w:val="Appelnotedebasdep"/>
          <w:sz w:val="18"/>
          <w:szCs w:val="18"/>
        </w:rPr>
        <w:footnoteRef/>
      </w:r>
      <w:r w:rsidRPr="00235AAA">
        <w:rPr>
          <w:sz w:val="18"/>
          <w:szCs w:val="18"/>
          <w:lang w:val="fr-BE"/>
        </w:rPr>
        <w:t xml:space="preserve"> A noter que ces pourcentages sont différents de ceux repris dans l’ancienne étude (données 2011) suite au changement de règlementation</w:t>
      </w:r>
      <w:r>
        <w:rPr>
          <w:sz w:val="18"/>
          <w:szCs w:val="18"/>
          <w:lang w:val="fr-BE"/>
        </w:rPr>
        <w:t xml:space="preserve"> étant donné que</w:t>
      </w:r>
      <w:r w:rsidRPr="00235AAA">
        <w:rPr>
          <w:sz w:val="18"/>
          <w:szCs w:val="18"/>
          <w:lang w:val="fr-BE"/>
        </w:rPr>
        <w:t xml:space="preserve"> le statut « affection chronique » n’a été créé qu’en 2013.</w:t>
      </w:r>
      <w:r>
        <w:rPr>
          <w:lang w:val="fr-BE"/>
        </w:rPr>
        <w:t xml:space="preserve">  </w:t>
      </w:r>
    </w:p>
  </w:footnote>
  <w:footnote w:id="18">
    <w:p w14:paraId="63A7AA6F" w14:textId="77777777" w:rsidR="00DD000A" w:rsidRPr="00BD6CEC" w:rsidRDefault="00DD000A" w:rsidP="008746EA">
      <w:pPr>
        <w:pStyle w:val="Notedebasdepage"/>
        <w:jc w:val="both"/>
        <w:rPr>
          <w:rFonts w:ascii="Arial" w:hAnsi="Arial" w:cs="Arial"/>
          <w:sz w:val="18"/>
          <w:szCs w:val="18"/>
          <w:lang w:val="fr-BE"/>
        </w:rPr>
      </w:pPr>
      <w:r w:rsidRPr="00F72D23">
        <w:rPr>
          <w:rStyle w:val="Appelnotedebasdep"/>
          <w:rFonts w:cs="Arial"/>
          <w:sz w:val="18"/>
          <w:szCs w:val="18"/>
        </w:rPr>
        <w:footnoteRef/>
      </w:r>
      <w:r w:rsidRPr="00F72D23">
        <w:rPr>
          <w:rFonts w:cs="Arial"/>
          <w:sz w:val="18"/>
          <w:szCs w:val="18"/>
          <w:lang w:val="fr-BE"/>
        </w:rPr>
        <w:t xml:space="preserve"> Relevons ici que l’analyse est réalisée uniquement sur les médicaments remboursés, ce qui a probablement pour effet de sous-évaluer la question de la polymédication.</w:t>
      </w:r>
    </w:p>
  </w:footnote>
  <w:footnote w:id="19">
    <w:p w14:paraId="79F00D6B" w14:textId="6FC8C546" w:rsidR="00DD000A" w:rsidRPr="00086003" w:rsidRDefault="00DD000A" w:rsidP="00086003">
      <w:pPr>
        <w:pStyle w:val="Notedebasdepage"/>
        <w:jc w:val="both"/>
        <w:rPr>
          <w:sz w:val="18"/>
          <w:szCs w:val="18"/>
          <w:lang w:val="fr-BE"/>
        </w:rPr>
      </w:pPr>
      <w:r w:rsidRPr="00086003">
        <w:rPr>
          <w:rStyle w:val="Appelnotedebasdep"/>
          <w:sz w:val="18"/>
          <w:szCs w:val="18"/>
        </w:rPr>
        <w:footnoteRef/>
      </w:r>
      <w:r w:rsidR="00000000">
        <w:fldChar w:fldCharType="begin"/>
      </w:r>
      <w:r w:rsidR="00000000" w:rsidRPr="002149EF">
        <w:rPr>
          <w:lang w:val="fr-BE"/>
        </w:rPr>
        <w:instrText xml:space="preserve"> HYPERLINK "https://www.gezondbelgie.be/nl/performantie-van-het-belgische-gezondheidssysteem/specifieke-zorgdomeinen/zorg-voor-ouderen" </w:instrText>
      </w:r>
      <w:r w:rsidR="00000000">
        <w:fldChar w:fldCharType="separate"/>
      </w:r>
      <w:r w:rsidRPr="00086003">
        <w:rPr>
          <w:rStyle w:val="Lienhypertexte"/>
          <w:color w:val="auto"/>
          <w:sz w:val="18"/>
          <w:szCs w:val="18"/>
          <w:lang w:val="fr-BE"/>
        </w:rPr>
        <w:t xml:space="preserve"> </w:t>
      </w:r>
      <w:r w:rsidR="00000000">
        <w:rPr>
          <w:rStyle w:val="Lienhypertexte"/>
          <w:color w:val="auto"/>
          <w:sz w:val="18"/>
          <w:szCs w:val="18"/>
          <w:lang w:val="fr-BE"/>
        </w:rPr>
        <w:fldChar w:fldCharType="end"/>
      </w:r>
      <w:r w:rsidR="00000000">
        <w:fldChar w:fldCharType="begin"/>
      </w:r>
      <w:r w:rsidR="00000000" w:rsidRPr="002149EF">
        <w:rPr>
          <w:lang w:val="fr-BE"/>
        </w:rPr>
        <w:instrText xml:space="preserve"> HYPERLINK "https://www.belgiqueenbonnesante.be/fr/hspa/domaines-de-soins-specifiques/soins-aux-personnes-agees" </w:instrText>
      </w:r>
      <w:r w:rsidR="00000000">
        <w:fldChar w:fldCharType="separate"/>
      </w:r>
      <w:r w:rsidRPr="00086003">
        <w:rPr>
          <w:rStyle w:val="Lienhypertexte"/>
          <w:sz w:val="18"/>
          <w:szCs w:val="18"/>
          <w:lang w:val="fr-BE"/>
        </w:rPr>
        <w:t>Soins aux personnes âgées - Vers une Belgique en bonne santé (belgiqueenbonnesante.be)</w:t>
      </w:r>
      <w:r w:rsidR="00000000">
        <w:rPr>
          <w:rStyle w:val="Lienhypertexte"/>
          <w:sz w:val="18"/>
          <w:szCs w:val="18"/>
          <w:lang w:val="fr-BE"/>
        </w:rPr>
        <w:fldChar w:fldCharType="end"/>
      </w:r>
      <w:r w:rsidRPr="00086003">
        <w:rPr>
          <w:sz w:val="18"/>
          <w:szCs w:val="18"/>
          <w:lang w:val="fr-BE"/>
        </w:rPr>
        <w:t>.</w:t>
      </w:r>
    </w:p>
  </w:footnote>
  <w:footnote w:id="20">
    <w:p w14:paraId="093FC932" w14:textId="7E90EB4B" w:rsidR="00DD000A" w:rsidRPr="003D6398" w:rsidRDefault="00DD000A" w:rsidP="00086003">
      <w:pPr>
        <w:pStyle w:val="Notedebasdepage"/>
        <w:jc w:val="both"/>
      </w:pPr>
      <w:r w:rsidRPr="00086003">
        <w:rPr>
          <w:rStyle w:val="Appelnotedebasdep"/>
          <w:sz w:val="18"/>
          <w:szCs w:val="18"/>
        </w:rPr>
        <w:footnoteRef/>
      </w:r>
      <w:r w:rsidRPr="003D6398">
        <w:rPr>
          <w:rStyle w:val="Lienhypertexte"/>
          <w:color w:val="000000" w:themeColor="text1"/>
          <w:sz w:val="18"/>
          <w:szCs w:val="18"/>
          <w:u w:val="none"/>
        </w:rPr>
        <w:t xml:space="preserve"> </w:t>
      </w:r>
      <w:proofErr w:type="spellStart"/>
      <w:r w:rsidRPr="003D6398">
        <w:rPr>
          <w:rStyle w:val="Lienhypertexte"/>
          <w:color w:val="000000" w:themeColor="text1"/>
          <w:sz w:val="18"/>
          <w:szCs w:val="18"/>
          <w:u w:val="none"/>
        </w:rPr>
        <w:t>Callies</w:t>
      </w:r>
      <w:proofErr w:type="spellEnd"/>
      <w:r w:rsidRPr="003D6398">
        <w:rPr>
          <w:rStyle w:val="Lienhypertexte"/>
          <w:color w:val="000000" w:themeColor="text1"/>
          <w:sz w:val="18"/>
          <w:szCs w:val="18"/>
          <w:u w:val="none"/>
        </w:rPr>
        <w:t xml:space="preserve"> et al. (2021).</w:t>
      </w:r>
    </w:p>
  </w:footnote>
  <w:footnote w:id="21">
    <w:p w14:paraId="6F16386F" w14:textId="48DF7CA9" w:rsidR="00DD000A" w:rsidRPr="005B27E4" w:rsidRDefault="00DD000A" w:rsidP="005B27E4">
      <w:pPr>
        <w:pStyle w:val="Notedebasdepage"/>
        <w:jc w:val="both"/>
        <w:rPr>
          <w:sz w:val="18"/>
          <w:szCs w:val="18"/>
        </w:rPr>
      </w:pPr>
      <w:r w:rsidRPr="005B27E4">
        <w:rPr>
          <w:rStyle w:val="Appelnotedebasdep"/>
          <w:sz w:val="18"/>
          <w:szCs w:val="18"/>
        </w:rPr>
        <w:footnoteRef/>
      </w:r>
      <w:r w:rsidRPr="005B27E4">
        <w:rPr>
          <w:rStyle w:val="Lienhypertexte"/>
          <w:color w:val="auto"/>
          <w:sz w:val="18"/>
          <w:szCs w:val="18"/>
          <w:u w:val="none"/>
        </w:rPr>
        <w:t xml:space="preserve"> Van Duynslaeger, Willaert et Vanoverloop (2022).</w:t>
      </w:r>
    </w:p>
  </w:footnote>
  <w:footnote w:id="22">
    <w:p w14:paraId="3EB9ABFC" w14:textId="77777777" w:rsidR="00DD000A" w:rsidRPr="005B27E4" w:rsidRDefault="00DD000A" w:rsidP="005B27E4">
      <w:pPr>
        <w:pStyle w:val="Notedebasdepage"/>
        <w:jc w:val="both"/>
        <w:rPr>
          <w:rFonts w:cs="Arial"/>
          <w:sz w:val="18"/>
          <w:szCs w:val="18"/>
          <w:lang w:val="fr-BE"/>
        </w:rPr>
      </w:pPr>
      <w:r w:rsidRPr="005B27E4">
        <w:rPr>
          <w:rStyle w:val="Appelnotedebasdep"/>
          <w:rFonts w:cs="Arial"/>
          <w:sz w:val="18"/>
          <w:szCs w:val="18"/>
        </w:rPr>
        <w:footnoteRef/>
      </w:r>
      <w:r w:rsidRPr="005B27E4">
        <w:rPr>
          <w:rFonts w:cs="Arial"/>
          <w:sz w:val="18"/>
          <w:szCs w:val="18"/>
          <w:lang w:val="fr-BE"/>
        </w:rPr>
        <w:t xml:space="preserve"> Pour corriger, entre autres, l'introduction de la tarification à l'unité (cf. pilule) dans les maison de repos, le calcul des DDD est effectué sur base du nombre de doses présentes dans les boîtes de médicaments délivrées. Seules les DDD délivrées pendant les six mois précédant ou suivant l’institutionnalisation sont inclues dans l'analyse. Par exemple, si une boîte de médicaments pour la tension artérielle de 90 DDD (doses quotidiennes pendant 3 mois) a été délivrée un mois avant l’entrée en maison de repos, nous ne prenons en compte que 30 DDD (un mois) délivrées pendant la période « six mois avant l’entrée en maison de repos" (les 60 DDD restantes n’étant pas comptabilisées) ; l'hypothèse sous-jacente étant qu’une DDD correspond à un traitement d'un jour.</w:t>
      </w:r>
    </w:p>
  </w:footnote>
  <w:footnote w:id="23">
    <w:p w14:paraId="56768C83" w14:textId="07B37553" w:rsidR="00DD000A" w:rsidRPr="008D449F" w:rsidRDefault="00DD000A" w:rsidP="005B27E4">
      <w:pPr>
        <w:pStyle w:val="Notedebasdepage"/>
        <w:jc w:val="both"/>
        <w:rPr>
          <w:lang w:val="fr-BE"/>
        </w:rPr>
      </w:pPr>
      <w:r w:rsidRPr="005B27E4">
        <w:rPr>
          <w:rStyle w:val="Appelnotedebasdep"/>
          <w:sz w:val="18"/>
          <w:szCs w:val="18"/>
        </w:rPr>
        <w:footnoteRef/>
      </w:r>
      <w:r w:rsidRPr="005B27E4">
        <w:rPr>
          <w:sz w:val="18"/>
          <w:szCs w:val="18"/>
          <w:lang w:val="fr-BE"/>
        </w:rPr>
        <w:t xml:space="preserve"> Il s'agit du nombre de DDD délivré</w:t>
      </w:r>
      <w:r>
        <w:rPr>
          <w:sz w:val="18"/>
          <w:szCs w:val="18"/>
          <w:lang w:val="fr-BE"/>
        </w:rPr>
        <w:t>e</w:t>
      </w:r>
      <w:r w:rsidRPr="005B27E4">
        <w:rPr>
          <w:sz w:val="18"/>
          <w:szCs w:val="18"/>
          <w:lang w:val="fr-BE"/>
        </w:rPr>
        <w:t>s</w:t>
      </w:r>
      <w:r>
        <w:rPr>
          <w:sz w:val="18"/>
          <w:szCs w:val="18"/>
          <w:lang w:val="fr-BE"/>
        </w:rPr>
        <w:t>, c’est-à-dire qu’i</w:t>
      </w:r>
      <w:r w:rsidRPr="005B27E4">
        <w:rPr>
          <w:sz w:val="18"/>
          <w:szCs w:val="18"/>
          <w:lang w:val="fr-BE"/>
        </w:rPr>
        <w:t>l n'est pas certain que le patient ait pris</w:t>
      </w:r>
      <w:r>
        <w:rPr>
          <w:sz w:val="18"/>
          <w:szCs w:val="18"/>
          <w:lang w:val="fr-BE"/>
        </w:rPr>
        <w:t xml:space="preserve"> tout</w:t>
      </w:r>
      <w:r w:rsidRPr="005B27E4">
        <w:rPr>
          <w:sz w:val="18"/>
          <w:szCs w:val="18"/>
          <w:lang w:val="fr-BE"/>
        </w:rPr>
        <w:t xml:space="preserve"> le </w:t>
      </w:r>
      <w:r>
        <w:rPr>
          <w:sz w:val="18"/>
          <w:szCs w:val="18"/>
          <w:lang w:val="fr-BE"/>
        </w:rPr>
        <w:t xml:space="preserve">traitement </w:t>
      </w:r>
      <w:r w:rsidRPr="005B27E4">
        <w:rPr>
          <w:sz w:val="18"/>
          <w:szCs w:val="18"/>
          <w:lang w:val="fr-BE"/>
        </w:rPr>
        <w:t xml:space="preserve">dans </w:t>
      </w:r>
      <w:r w:rsidRPr="008D449F">
        <w:rPr>
          <w:sz w:val="18"/>
          <w:szCs w:val="18"/>
          <w:lang w:val="fr-BE"/>
        </w:rPr>
        <w:t>son intégralité. Pour la délivrance de boîtes de médicaments, la différence entre la délivrance et la prise effective est susceptible d'être plus importante que dans le cas de la délivrance à l’unité.</w:t>
      </w:r>
    </w:p>
  </w:footnote>
  <w:footnote w:id="24">
    <w:p w14:paraId="5E961418" w14:textId="3F16D573" w:rsidR="00DD000A" w:rsidRPr="00AC428E" w:rsidRDefault="00DD000A" w:rsidP="00AC428E">
      <w:pPr>
        <w:pStyle w:val="Notedebasdepage"/>
        <w:jc w:val="both"/>
        <w:rPr>
          <w:sz w:val="18"/>
          <w:szCs w:val="18"/>
          <w:lang w:val="fr-BE"/>
        </w:rPr>
      </w:pPr>
      <w:r w:rsidRPr="008D449F">
        <w:rPr>
          <w:rStyle w:val="Appelnotedebasdep"/>
          <w:sz w:val="18"/>
          <w:szCs w:val="18"/>
        </w:rPr>
        <w:footnoteRef/>
      </w:r>
      <w:r w:rsidRPr="008D449F">
        <w:rPr>
          <w:sz w:val="18"/>
          <w:szCs w:val="18"/>
          <w:lang w:val="fr-BE"/>
        </w:rPr>
        <w:t xml:space="preserve"> Cf. Arrêté Royal du 24 septembre 2012 établissant les règles relatives à la préparation de médication individuelle (PMI) publié au Moniteur Belge le 28 septembre 2012.</w:t>
      </w:r>
    </w:p>
  </w:footnote>
  <w:footnote w:id="25">
    <w:p w14:paraId="66784D25" w14:textId="0E755337" w:rsidR="00B90D43" w:rsidRPr="00B90D43" w:rsidRDefault="00B90D43">
      <w:pPr>
        <w:pStyle w:val="Notedebasdepage"/>
        <w:rPr>
          <w:sz w:val="18"/>
          <w:szCs w:val="18"/>
          <w:lang w:val="fr-BE"/>
        </w:rPr>
      </w:pPr>
      <w:r w:rsidRPr="00B90D43">
        <w:rPr>
          <w:rStyle w:val="Appelnotedebasdep"/>
          <w:sz w:val="18"/>
          <w:szCs w:val="18"/>
        </w:rPr>
        <w:footnoteRef/>
      </w:r>
      <w:r w:rsidRPr="00B90D43">
        <w:rPr>
          <w:sz w:val="18"/>
          <w:szCs w:val="18"/>
          <w:lang w:val="fr-BE"/>
        </w:rPr>
        <w:t xml:space="preserve"> </w:t>
      </w:r>
      <w:proofErr w:type="spellStart"/>
      <w:r w:rsidRPr="00B90D43">
        <w:rPr>
          <w:sz w:val="18"/>
          <w:szCs w:val="18"/>
          <w:lang w:val="fr-BE"/>
        </w:rPr>
        <w:t>Multipharma</w:t>
      </w:r>
      <w:proofErr w:type="spellEnd"/>
      <w:r w:rsidRPr="00B90D43">
        <w:rPr>
          <w:sz w:val="18"/>
          <w:szCs w:val="18"/>
          <w:lang w:val="fr-BE"/>
        </w:rPr>
        <w:t xml:space="preserve"> (2023).</w:t>
      </w:r>
    </w:p>
  </w:footnote>
  <w:footnote w:id="26">
    <w:p w14:paraId="7E742B8E" w14:textId="77777777" w:rsidR="00B37D1B" w:rsidRPr="00322455" w:rsidRDefault="00B37D1B" w:rsidP="00B37D1B">
      <w:pPr>
        <w:pStyle w:val="Notedebasdepage"/>
        <w:rPr>
          <w:sz w:val="18"/>
          <w:szCs w:val="18"/>
          <w:lang w:val="fr-BE"/>
        </w:rPr>
      </w:pPr>
      <w:r w:rsidRPr="00322455">
        <w:rPr>
          <w:rStyle w:val="Appelnotedebasdep"/>
          <w:sz w:val="18"/>
          <w:szCs w:val="18"/>
        </w:rPr>
        <w:footnoteRef/>
      </w:r>
      <w:r w:rsidRPr="00322455">
        <w:rPr>
          <w:sz w:val="18"/>
          <w:szCs w:val="18"/>
          <w:lang w:val="fr-BE"/>
        </w:rPr>
        <w:t xml:space="preserve"> Liages (2017)</w:t>
      </w:r>
      <w:r>
        <w:rPr>
          <w:sz w:val="18"/>
          <w:szCs w:val="18"/>
          <w:lang w:val="fr-BE"/>
        </w:rPr>
        <w:t xml:space="preserve"> et voir </w:t>
      </w:r>
      <w:r w:rsidRPr="00B37D1B">
        <w:rPr>
          <w:sz w:val="18"/>
          <w:szCs w:val="18"/>
          <w:lang w:val="fr-BE"/>
        </w:rPr>
        <w:t xml:space="preserve">le site </w:t>
      </w:r>
      <w:r w:rsidR="00000000">
        <w:fldChar w:fldCharType="begin"/>
      </w:r>
      <w:r w:rsidR="00000000" w:rsidRPr="002149EF">
        <w:rPr>
          <w:lang w:val="fr-BE"/>
        </w:rPr>
        <w:instrText xml:space="preserve"> HYPERLINK "https://www.liages.be/deprescrivez-moi-ca/" </w:instrText>
      </w:r>
      <w:r w:rsidR="00000000">
        <w:fldChar w:fldCharType="separate"/>
      </w:r>
      <w:r w:rsidRPr="00B37D1B">
        <w:rPr>
          <w:rStyle w:val="Lienhypertexte"/>
          <w:sz w:val="18"/>
          <w:szCs w:val="18"/>
          <w:lang w:val="fr-BE"/>
        </w:rPr>
        <w:t>(Dé)prescrivez-moi ça ?! - Liages</w:t>
      </w:r>
      <w:r w:rsidR="00000000">
        <w:rPr>
          <w:rStyle w:val="Lienhypertexte"/>
          <w:sz w:val="18"/>
          <w:szCs w:val="18"/>
          <w:lang w:val="fr-BE"/>
        </w:rPr>
        <w:fldChar w:fldCharType="end"/>
      </w:r>
      <w:r w:rsidRPr="00B37D1B">
        <w:rPr>
          <w:sz w:val="18"/>
          <w:szCs w:val="18"/>
          <w:lang w:val="fr-BE"/>
        </w:rPr>
        <w:t>.</w:t>
      </w:r>
    </w:p>
  </w:footnote>
  <w:footnote w:id="27">
    <w:p w14:paraId="691C4094" w14:textId="1F8B4A91" w:rsidR="00D078AA" w:rsidRPr="00D078AA" w:rsidRDefault="00D078AA">
      <w:pPr>
        <w:pStyle w:val="Notedebasdepage"/>
        <w:rPr>
          <w:sz w:val="18"/>
          <w:szCs w:val="18"/>
          <w:lang w:val="fr-BE"/>
        </w:rPr>
      </w:pPr>
      <w:r w:rsidRPr="00D078AA">
        <w:rPr>
          <w:rStyle w:val="Appelnotedebasdep"/>
          <w:sz w:val="18"/>
          <w:szCs w:val="18"/>
        </w:rPr>
        <w:footnoteRef/>
      </w:r>
      <w:r w:rsidRPr="00D078AA">
        <w:rPr>
          <w:sz w:val="18"/>
          <w:szCs w:val="18"/>
          <w:lang w:val="fr-BE"/>
        </w:rPr>
        <w:t xml:space="preserve"> Voir section méthodologique.</w:t>
      </w:r>
    </w:p>
  </w:footnote>
  <w:footnote w:id="28">
    <w:p w14:paraId="61D4E67A" w14:textId="77777777" w:rsidR="00DD000A" w:rsidRPr="00B80CD4" w:rsidRDefault="00DD000A" w:rsidP="00B80CD4">
      <w:pPr>
        <w:pStyle w:val="Notedebasdepage"/>
        <w:rPr>
          <w:rFonts w:cs="Arial"/>
          <w:sz w:val="18"/>
          <w:szCs w:val="18"/>
          <w:lang w:val="fr-BE"/>
        </w:rPr>
      </w:pPr>
      <w:r w:rsidRPr="00B80CD4">
        <w:rPr>
          <w:rStyle w:val="Appelnotedebasdep"/>
          <w:rFonts w:cs="Arial"/>
          <w:sz w:val="18"/>
          <w:szCs w:val="18"/>
        </w:rPr>
        <w:footnoteRef/>
      </w:r>
      <w:r w:rsidRPr="00B80CD4">
        <w:rPr>
          <w:rFonts w:cs="Arial"/>
          <w:sz w:val="18"/>
          <w:szCs w:val="18"/>
          <w:lang w:val="fr-BE"/>
        </w:rPr>
        <w:t xml:space="preserve"> Seules les délivrances par le secteur ambulatoire sont prises en compte. Nous avons, en effet, exclu les délivrances par le secteur hospitalier afin de se concentrer uniquement sur les molécules traitant une maladie chronique et afin d’éviter de prendre la consommation liée à une hospitalisation en compte dans l’analyse. Dans le cas échéant, l’étude mettrait davantage en évidence les effets liés à la sortie de l’hôpital plutôt que l’entrée en maison de repos.</w:t>
      </w:r>
    </w:p>
  </w:footnote>
  <w:footnote w:id="29">
    <w:p w14:paraId="3F9AB9AD" w14:textId="77777777" w:rsidR="00DD000A" w:rsidRPr="00F9447A" w:rsidRDefault="00DD000A" w:rsidP="00B80CD4">
      <w:pPr>
        <w:pStyle w:val="Notedebasdepage"/>
        <w:rPr>
          <w:sz w:val="18"/>
          <w:szCs w:val="18"/>
          <w:lang w:val="fr-BE"/>
        </w:rPr>
      </w:pPr>
      <w:r w:rsidRPr="00B80CD4">
        <w:rPr>
          <w:rStyle w:val="Appelnotedebasdep"/>
          <w:rFonts w:cs="Arial"/>
          <w:sz w:val="18"/>
          <w:szCs w:val="18"/>
        </w:rPr>
        <w:footnoteRef/>
      </w:r>
      <w:r w:rsidRPr="00B80CD4">
        <w:rPr>
          <w:rFonts w:cs="Arial"/>
          <w:sz w:val="18"/>
          <w:szCs w:val="18"/>
          <w:lang w:val="fr-BE"/>
        </w:rPr>
        <w:t xml:space="preserve"> C’est-à-dire que la population d’affiliés est répartie en classes égales selon le niveau de polymédication : le P25 représente les 25% des affiliés qui ont le moins de polymédication, le P50 représente 50% des affiliés et le P75 représente les 25% des affiliés qui ont le plus de polymédication.</w:t>
      </w:r>
    </w:p>
  </w:footnote>
  <w:footnote w:id="30">
    <w:p w14:paraId="153F66F4" w14:textId="77777777" w:rsidR="00516894" w:rsidRPr="006F6717" w:rsidRDefault="00516894" w:rsidP="00516894">
      <w:pPr>
        <w:pStyle w:val="Notedebasdepage"/>
        <w:jc w:val="both"/>
        <w:rPr>
          <w:sz w:val="18"/>
          <w:szCs w:val="18"/>
          <w:lang w:val="fr-BE"/>
        </w:rPr>
      </w:pPr>
      <w:r w:rsidRPr="002E1E52">
        <w:rPr>
          <w:rStyle w:val="Appelnotedebasdep"/>
          <w:sz w:val="18"/>
          <w:szCs w:val="18"/>
        </w:rPr>
        <w:footnoteRef/>
      </w:r>
      <w:r w:rsidRPr="002E1E52">
        <w:rPr>
          <w:sz w:val="18"/>
          <w:szCs w:val="18"/>
          <w:lang w:val="fr-BE"/>
        </w:rPr>
        <w:t xml:space="preserve"> Il s’agit d’une possibilité laissée à la discrétion de la maison de repos et ce n’est donc pas obligatoire. Aucune rémunération n’est par ailleurs (encore) prévue pour le pharmacien. </w:t>
      </w:r>
    </w:p>
  </w:footnote>
  <w:footnote w:id="31">
    <w:p w14:paraId="3C5D5A0F" w14:textId="77777777" w:rsidR="00516894" w:rsidRPr="0007719B" w:rsidRDefault="00516894" w:rsidP="0007719B">
      <w:pPr>
        <w:pStyle w:val="Notedebasdepage"/>
        <w:jc w:val="both"/>
        <w:rPr>
          <w:sz w:val="18"/>
          <w:szCs w:val="18"/>
          <w:lang w:val="fr-BE"/>
        </w:rPr>
      </w:pPr>
      <w:r w:rsidRPr="005F03A2">
        <w:rPr>
          <w:rStyle w:val="Appelnotedebasdep"/>
          <w:sz w:val="18"/>
          <w:szCs w:val="18"/>
        </w:rPr>
        <w:footnoteRef/>
      </w:r>
      <w:r w:rsidRPr="005F03A2">
        <w:rPr>
          <w:sz w:val="18"/>
          <w:szCs w:val="18"/>
          <w:lang w:val="fr-BE"/>
        </w:rPr>
        <w:t xml:space="preserve"> Une formation a d’ailleurs été mise en place par la </w:t>
      </w:r>
      <w:proofErr w:type="spellStart"/>
      <w:r w:rsidRPr="005F03A2">
        <w:rPr>
          <w:sz w:val="18"/>
          <w:szCs w:val="18"/>
          <w:lang w:val="fr-BE"/>
        </w:rPr>
        <w:t>Katholiek</w:t>
      </w:r>
      <w:r>
        <w:rPr>
          <w:sz w:val="18"/>
          <w:szCs w:val="18"/>
          <w:lang w:val="fr-BE"/>
        </w:rPr>
        <w:t>e</w:t>
      </w:r>
      <w:proofErr w:type="spellEnd"/>
      <w:r w:rsidRPr="005F03A2">
        <w:rPr>
          <w:sz w:val="18"/>
          <w:szCs w:val="18"/>
          <w:lang w:val="fr-BE"/>
        </w:rPr>
        <w:t xml:space="preserve"> </w:t>
      </w:r>
      <w:proofErr w:type="spellStart"/>
      <w:r w:rsidRPr="005F03A2">
        <w:rPr>
          <w:sz w:val="18"/>
          <w:szCs w:val="18"/>
          <w:lang w:val="fr-BE"/>
        </w:rPr>
        <w:t>Universiteit</w:t>
      </w:r>
      <w:proofErr w:type="spellEnd"/>
      <w:r w:rsidRPr="005F03A2">
        <w:rPr>
          <w:sz w:val="18"/>
          <w:szCs w:val="18"/>
          <w:lang w:val="fr-BE"/>
        </w:rPr>
        <w:t xml:space="preserve"> Leuven : </w:t>
      </w:r>
      <w:r w:rsidR="00000000">
        <w:fldChar w:fldCharType="begin"/>
      </w:r>
      <w:r w:rsidR="00000000" w:rsidRPr="002149EF">
        <w:rPr>
          <w:lang w:val="fr-BE"/>
        </w:rPr>
        <w:instrText xml:space="preserve"> HYPERLINK "https://onderwijsaanbod.kuleuven.be/opleidingen/n/CQ_57044473.htm" \l "activetab=diploma_omschrijving" </w:instrText>
      </w:r>
      <w:r w:rsidR="00000000">
        <w:fldChar w:fldCharType="separate"/>
      </w:r>
      <w:r w:rsidRPr="0007719B">
        <w:rPr>
          <w:rStyle w:val="Lienhypertexte"/>
          <w:sz w:val="18"/>
          <w:szCs w:val="18"/>
          <w:lang w:val="fr-BE"/>
        </w:rPr>
        <w:t>https://onderwijsaanbod.kuleuven.be/opleidingen/n/CQ_57044473.htm#activetab=diploma_omschrijving</w:t>
      </w:r>
      <w:r w:rsidR="00000000">
        <w:rPr>
          <w:rStyle w:val="Lienhypertexte"/>
          <w:sz w:val="18"/>
          <w:szCs w:val="18"/>
          <w:lang w:val="fr-BE"/>
        </w:rPr>
        <w:fldChar w:fldCharType="end"/>
      </w:r>
      <w:r w:rsidRPr="0007719B">
        <w:rPr>
          <w:sz w:val="18"/>
          <w:szCs w:val="18"/>
          <w:lang w:val="fr-BE"/>
        </w:rPr>
        <w:t>.</w:t>
      </w:r>
    </w:p>
  </w:footnote>
  <w:footnote w:id="32">
    <w:p w14:paraId="00204D2E" w14:textId="5FC67C13" w:rsidR="0007719B" w:rsidRPr="0007719B" w:rsidRDefault="0007719B" w:rsidP="0007719B">
      <w:pPr>
        <w:pStyle w:val="Notedebasdepage"/>
        <w:jc w:val="both"/>
        <w:rPr>
          <w:lang w:val="fr-BE"/>
        </w:rPr>
      </w:pPr>
      <w:r w:rsidRPr="0007719B">
        <w:rPr>
          <w:rStyle w:val="Appelnotedebasdep"/>
          <w:sz w:val="18"/>
          <w:szCs w:val="18"/>
        </w:rPr>
        <w:footnoteRef/>
      </w:r>
      <w:r w:rsidR="002646FC">
        <w:rPr>
          <w:sz w:val="18"/>
          <w:szCs w:val="18"/>
          <w:lang w:val="fr-BE"/>
        </w:rPr>
        <w:t xml:space="preserve"> </w:t>
      </w:r>
      <w:proofErr w:type="spellStart"/>
      <w:r w:rsidR="002646FC">
        <w:rPr>
          <w:sz w:val="18"/>
          <w:szCs w:val="18"/>
          <w:lang w:val="fr-BE"/>
        </w:rPr>
        <w:t>Multipharma</w:t>
      </w:r>
      <w:proofErr w:type="spellEnd"/>
      <w:r w:rsidR="002646FC">
        <w:rPr>
          <w:sz w:val="18"/>
          <w:szCs w:val="18"/>
          <w:lang w:val="fr-BE"/>
        </w:rPr>
        <w:t xml:space="preserve"> (2023)</w:t>
      </w:r>
      <w:r w:rsidRPr="0007719B">
        <w:rPr>
          <w:sz w:val="18"/>
          <w:szCs w:val="18"/>
          <w:lang w:val="fr-BE"/>
        </w:rPr>
        <w:t>.</w:t>
      </w:r>
    </w:p>
  </w:footnote>
  <w:footnote w:id="33">
    <w:p w14:paraId="6454CCDC" w14:textId="77777777" w:rsidR="00516894" w:rsidRPr="007A2C87" w:rsidRDefault="00516894" w:rsidP="00516894">
      <w:pPr>
        <w:pStyle w:val="Notedebasdepage"/>
        <w:jc w:val="both"/>
        <w:rPr>
          <w:sz w:val="18"/>
          <w:szCs w:val="18"/>
          <w:lang w:val="fr-BE"/>
        </w:rPr>
      </w:pPr>
      <w:r w:rsidRPr="007A2C87">
        <w:rPr>
          <w:rStyle w:val="Appelnotedebasdep"/>
          <w:sz w:val="18"/>
          <w:szCs w:val="18"/>
        </w:rPr>
        <w:footnoteRef/>
      </w:r>
      <w:r w:rsidRPr="007A2C87">
        <w:rPr>
          <w:sz w:val="18"/>
          <w:szCs w:val="18"/>
          <w:lang w:val="fr-BE"/>
        </w:rPr>
        <w:t xml:space="preserve"> </w:t>
      </w:r>
      <w:r>
        <w:rPr>
          <w:sz w:val="18"/>
          <w:szCs w:val="18"/>
          <w:lang w:val="fr-BE"/>
        </w:rPr>
        <w:t>L’</w:t>
      </w:r>
      <w:r w:rsidRPr="007A2C87">
        <w:rPr>
          <w:sz w:val="18"/>
          <w:szCs w:val="18"/>
          <w:lang w:val="fr-BE"/>
        </w:rPr>
        <w:t xml:space="preserve">outil </w:t>
      </w:r>
      <w:proofErr w:type="spellStart"/>
      <w:r w:rsidRPr="007A2C87">
        <w:rPr>
          <w:sz w:val="18"/>
          <w:szCs w:val="18"/>
          <w:lang w:val="fr-BE"/>
        </w:rPr>
        <w:t>Stopp</w:t>
      </w:r>
      <w:proofErr w:type="spellEnd"/>
      <w:r w:rsidRPr="007A2C87">
        <w:rPr>
          <w:sz w:val="18"/>
          <w:szCs w:val="18"/>
          <w:lang w:val="fr-BE"/>
        </w:rPr>
        <w:t xml:space="preserve"> et Start consiste en une liste de critères explicites, validée par des experts, permettant l'évaluation des traitements médicamenteux prescrits aux seniors et de détecter des prescriptions potentiellement inappropriées.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65"/>
      <w:gridCol w:w="3965"/>
      <w:gridCol w:w="3965"/>
    </w:tblGrid>
    <w:tr w:rsidR="00DD000A" w14:paraId="205D5935" w14:textId="77777777" w:rsidTr="75AB651D">
      <w:trPr>
        <w:trHeight w:val="300"/>
      </w:trPr>
      <w:tc>
        <w:tcPr>
          <w:tcW w:w="3965" w:type="dxa"/>
        </w:tcPr>
        <w:p w14:paraId="4C7F9E5B" w14:textId="00A817DA" w:rsidR="00DD000A" w:rsidRDefault="00DD000A" w:rsidP="75AB651D">
          <w:pPr>
            <w:pStyle w:val="En-tte"/>
            <w:ind w:left="-115"/>
          </w:pPr>
        </w:p>
      </w:tc>
      <w:tc>
        <w:tcPr>
          <w:tcW w:w="3965" w:type="dxa"/>
        </w:tcPr>
        <w:p w14:paraId="01081241" w14:textId="308C0D21" w:rsidR="00DD000A" w:rsidRDefault="00DD000A" w:rsidP="75AB651D">
          <w:pPr>
            <w:pStyle w:val="En-tte"/>
            <w:jc w:val="center"/>
          </w:pPr>
        </w:p>
      </w:tc>
      <w:tc>
        <w:tcPr>
          <w:tcW w:w="3965" w:type="dxa"/>
        </w:tcPr>
        <w:p w14:paraId="00F826B3" w14:textId="2A9B5286" w:rsidR="00DD000A" w:rsidRDefault="00DD000A" w:rsidP="75AB651D">
          <w:pPr>
            <w:pStyle w:val="En-tte"/>
            <w:ind w:right="-115"/>
            <w:jc w:val="right"/>
          </w:pPr>
        </w:p>
      </w:tc>
    </w:tr>
  </w:tbl>
  <w:p w14:paraId="3A612862" w14:textId="68B27EE6" w:rsidR="00DD000A" w:rsidRDefault="00DD000A" w:rsidP="75AB65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D000A" w14:paraId="76363958" w14:textId="77777777" w:rsidTr="75AB651D">
      <w:trPr>
        <w:trHeight w:val="300"/>
      </w:trPr>
      <w:tc>
        <w:tcPr>
          <w:tcW w:w="3005" w:type="dxa"/>
        </w:tcPr>
        <w:p w14:paraId="216493CC" w14:textId="1B71BD99" w:rsidR="00DD000A" w:rsidRDefault="00DD000A" w:rsidP="75AB651D">
          <w:pPr>
            <w:pStyle w:val="En-tte"/>
            <w:ind w:left="-115"/>
          </w:pPr>
        </w:p>
      </w:tc>
      <w:tc>
        <w:tcPr>
          <w:tcW w:w="3005" w:type="dxa"/>
        </w:tcPr>
        <w:p w14:paraId="65D89833" w14:textId="2582764F" w:rsidR="00DD000A" w:rsidRDefault="00DD000A" w:rsidP="75AB651D">
          <w:pPr>
            <w:pStyle w:val="En-tte"/>
            <w:jc w:val="center"/>
          </w:pPr>
        </w:p>
      </w:tc>
      <w:tc>
        <w:tcPr>
          <w:tcW w:w="3005" w:type="dxa"/>
        </w:tcPr>
        <w:p w14:paraId="532F6707" w14:textId="40EE16CE" w:rsidR="00DD000A" w:rsidRDefault="00DD000A" w:rsidP="75AB651D">
          <w:pPr>
            <w:pStyle w:val="En-tte"/>
            <w:ind w:right="-115"/>
            <w:jc w:val="right"/>
          </w:pPr>
        </w:p>
      </w:tc>
    </w:tr>
  </w:tbl>
  <w:p w14:paraId="6A7B51DB" w14:textId="1D477662" w:rsidR="00DD000A" w:rsidRDefault="00DD000A" w:rsidP="75AB65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3AB"/>
    <w:multiLevelType w:val="hybridMultilevel"/>
    <w:tmpl w:val="7FD21952"/>
    <w:lvl w:ilvl="0" w:tplc="E8ACA546">
      <w:start w:val="2"/>
      <w:numFmt w:val="bullet"/>
      <w:lvlText w:val="-"/>
      <w:lvlJc w:val="left"/>
      <w:pPr>
        <w:ind w:left="1071" w:hanging="711"/>
      </w:pPr>
      <w:rPr>
        <w:rFonts w:ascii="Trebuchet MS" w:eastAsiaTheme="minorHAnsi"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4184767"/>
    <w:multiLevelType w:val="hybridMultilevel"/>
    <w:tmpl w:val="20E0B23E"/>
    <w:lvl w:ilvl="0" w:tplc="37648382">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E4521F"/>
    <w:multiLevelType w:val="hybridMultilevel"/>
    <w:tmpl w:val="0DB431DE"/>
    <w:lvl w:ilvl="0" w:tplc="04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8460925"/>
    <w:multiLevelType w:val="hybridMultilevel"/>
    <w:tmpl w:val="23BE7992"/>
    <w:lvl w:ilvl="0" w:tplc="EFB6D30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FC0EE4"/>
    <w:multiLevelType w:val="hybridMultilevel"/>
    <w:tmpl w:val="2D326734"/>
    <w:lvl w:ilvl="0" w:tplc="E99E0260">
      <w:start w:val="1"/>
      <w:numFmt w:val="bullet"/>
      <w:lvlText w:val="-"/>
      <w:lvlJc w:val="left"/>
      <w:pPr>
        <w:ind w:left="1071" w:hanging="711"/>
      </w:pPr>
      <w:rPr>
        <w:rFonts w:ascii="Trebuchet MS" w:eastAsiaTheme="minorEastAsia" w:hAnsi="Trebuchet MS" w:cstheme="minorBidi"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0566EFA"/>
    <w:multiLevelType w:val="hybridMultilevel"/>
    <w:tmpl w:val="6A26C36E"/>
    <w:lvl w:ilvl="0" w:tplc="12E67282">
      <w:numFmt w:val="bullet"/>
      <w:lvlText w:val="-"/>
      <w:lvlJc w:val="left"/>
      <w:pPr>
        <w:ind w:left="720" w:hanging="360"/>
      </w:pPr>
      <w:rPr>
        <w:rFonts w:ascii="Trebuchet MS" w:eastAsiaTheme="minorHAnsi"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9767F5E"/>
    <w:multiLevelType w:val="hybridMultilevel"/>
    <w:tmpl w:val="0550251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F261956"/>
    <w:multiLevelType w:val="hybridMultilevel"/>
    <w:tmpl w:val="692E6FB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F2B7CB5"/>
    <w:multiLevelType w:val="hybridMultilevel"/>
    <w:tmpl w:val="72187DF8"/>
    <w:lvl w:ilvl="0" w:tplc="0C00000F">
      <w:start w:val="1"/>
      <w:numFmt w:val="decimal"/>
      <w:lvlText w:val="%1."/>
      <w:lvlJc w:val="left"/>
      <w:pPr>
        <w:ind w:left="720" w:hanging="360"/>
      </w:pPr>
    </w:lvl>
    <w:lvl w:ilvl="1" w:tplc="275A1448">
      <w:numFmt w:val="bullet"/>
      <w:lvlText w:val="-"/>
      <w:lvlJc w:val="left"/>
      <w:pPr>
        <w:ind w:left="1440" w:hanging="360"/>
      </w:pPr>
      <w:rPr>
        <w:rFonts w:ascii="Trebuchet MS" w:eastAsiaTheme="minorHAnsi" w:hAnsi="Trebuchet MS" w:cstheme="minorBidi"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132355A"/>
    <w:multiLevelType w:val="hybridMultilevel"/>
    <w:tmpl w:val="93BE747A"/>
    <w:lvl w:ilvl="0" w:tplc="579A276A">
      <w:start w:val="1"/>
      <w:numFmt w:val="decimal"/>
      <w:lvlText w:val="%1.1"/>
      <w:lvlJc w:val="left"/>
      <w:pPr>
        <w:ind w:left="1124" w:hanging="360"/>
      </w:pPr>
      <w:rPr>
        <w:rFonts w:hint="default"/>
        <w:b w:val="0"/>
        <w:i w:val="0"/>
        <w:color w:val="D90030"/>
        <w:sz w:val="32"/>
        <w:u w:val="none"/>
      </w:rPr>
    </w:lvl>
    <w:lvl w:ilvl="1" w:tplc="08130019" w:tentative="1">
      <w:start w:val="1"/>
      <w:numFmt w:val="lowerLetter"/>
      <w:lvlText w:val="%2."/>
      <w:lvlJc w:val="left"/>
      <w:pPr>
        <w:ind w:left="2564" w:hanging="360"/>
      </w:pPr>
    </w:lvl>
    <w:lvl w:ilvl="2" w:tplc="0813001B" w:tentative="1">
      <w:start w:val="1"/>
      <w:numFmt w:val="lowerRoman"/>
      <w:lvlText w:val="%3."/>
      <w:lvlJc w:val="right"/>
      <w:pPr>
        <w:ind w:left="3284" w:hanging="180"/>
      </w:pPr>
    </w:lvl>
    <w:lvl w:ilvl="3" w:tplc="0813000F" w:tentative="1">
      <w:start w:val="1"/>
      <w:numFmt w:val="decimal"/>
      <w:lvlText w:val="%4."/>
      <w:lvlJc w:val="left"/>
      <w:pPr>
        <w:ind w:left="4004" w:hanging="360"/>
      </w:pPr>
    </w:lvl>
    <w:lvl w:ilvl="4" w:tplc="08130019" w:tentative="1">
      <w:start w:val="1"/>
      <w:numFmt w:val="lowerLetter"/>
      <w:lvlText w:val="%5."/>
      <w:lvlJc w:val="left"/>
      <w:pPr>
        <w:ind w:left="4724" w:hanging="360"/>
      </w:pPr>
    </w:lvl>
    <w:lvl w:ilvl="5" w:tplc="0813001B" w:tentative="1">
      <w:start w:val="1"/>
      <w:numFmt w:val="lowerRoman"/>
      <w:lvlText w:val="%6."/>
      <w:lvlJc w:val="right"/>
      <w:pPr>
        <w:ind w:left="5444" w:hanging="180"/>
      </w:pPr>
    </w:lvl>
    <w:lvl w:ilvl="6" w:tplc="0813000F" w:tentative="1">
      <w:start w:val="1"/>
      <w:numFmt w:val="decimal"/>
      <w:lvlText w:val="%7."/>
      <w:lvlJc w:val="left"/>
      <w:pPr>
        <w:ind w:left="6164" w:hanging="360"/>
      </w:pPr>
    </w:lvl>
    <w:lvl w:ilvl="7" w:tplc="08130019" w:tentative="1">
      <w:start w:val="1"/>
      <w:numFmt w:val="lowerLetter"/>
      <w:lvlText w:val="%8."/>
      <w:lvlJc w:val="left"/>
      <w:pPr>
        <w:ind w:left="6884" w:hanging="360"/>
      </w:pPr>
    </w:lvl>
    <w:lvl w:ilvl="8" w:tplc="0813001B" w:tentative="1">
      <w:start w:val="1"/>
      <w:numFmt w:val="lowerRoman"/>
      <w:lvlText w:val="%9."/>
      <w:lvlJc w:val="right"/>
      <w:pPr>
        <w:ind w:left="7604" w:hanging="180"/>
      </w:pPr>
    </w:lvl>
  </w:abstractNum>
  <w:abstractNum w:abstractNumId="10" w15:restartNumberingAfterBreak="0">
    <w:nsid w:val="291C4D14"/>
    <w:multiLevelType w:val="hybridMultilevel"/>
    <w:tmpl w:val="55D67258"/>
    <w:lvl w:ilvl="0" w:tplc="E99E0260">
      <w:start w:val="1"/>
      <w:numFmt w:val="bullet"/>
      <w:lvlText w:val="-"/>
      <w:lvlJc w:val="left"/>
      <w:pPr>
        <w:ind w:left="720" w:hanging="360"/>
      </w:pPr>
      <w:rPr>
        <w:rFonts w:ascii="Trebuchet MS" w:eastAsiaTheme="minorEastAsia"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2ABC3105"/>
    <w:multiLevelType w:val="hybridMultilevel"/>
    <w:tmpl w:val="BCD257C6"/>
    <w:lvl w:ilvl="0" w:tplc="24DA2A1C">
      <w:start w:val="1"/>
      <w:numFmt w:val="decimal"/>
      <w:lvlText w:val="1.%1"/>
      <w:lvlJc w:val="left"/>
      <w:pPr>
        <w:ind w:left="1440" w:hanging="360"/>
      </w:pPr>
      <w:rPr>
        <w:rFonts w:ascii="Trebuchet MS" w:hAnsi="Trebuchet MS" w:hint="default"/>
        <w:b w:val="0"/>
        <w:i w:val="0"/>
        <w:color w:val="D90030"/>
        <w:sz w:val="24"/>
        <w:u w:val="none"/>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35286EF3"/>
    <w:multiLevelType w:val="hybridMultilevel"/>
    <w:tmpl w:val="2E749454"/>
    <w:lvl w:ilvl="0" w:tplc="08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C6B1C80"/>
    <w:multiLevelType w:val="hybridMultilevel"/>
    <w:tmpl w:val="B71E73C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D9944AA"/>
    <w:multiLevelType w:val="hybridMultilevel"/>
    <w:tmpl w:val="EAE4C712"/>
    <w:lvl w:ilvl="0" w:tplc="0F4E613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E5E4F20"/>
    <w:multiLevelType w:val="multilevel"/>
    <w:tmpl w:val="0430E4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BE561AE"/>
    <w:multiLevelType w:val="hybridMultilevel"/>
    <w:tmpl w:val="5BC2A7D8"/>
    <w:lvl w:ilvl="0" w:tplc="83142ED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04E7FB1"/>
    <w:multiLevelType w:val="hybridMultilevel"/>
    <w:tmpl w:val="F984E9EC"/>
    <w:lvl w:ilvl="0" w:tplc="E99E0260">
      <w:start w:val="1"/>
      <w:numFmt w:val="bullet"/>
      <w:lvlText w:val="-"/>
      <w:lvlJc w:val="left"/>
      <w:pPr>
        <w:ind w:left="720" w:hanging="360"/>
      </w:pPr>
      <w:rPr>
        <w:rFonts w:ascii="Trebuchet MS" w:eastAsiaTheme="minorEastAsia"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54AA4253"/>
    <w:multiLevelType w:val="hybridMultilevel"/>
    <w:tmpl w:val="04F0DB30"/>
    <w:lvl w:ilvl="0" w:tplc="0813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4CD0ED7"/>
    <w:multiLevelType w:val="hybridMultilevel"/>
    <w:tmpl w:val="70829C12"/>
    <w:lvl w:ilvl="0" w:tplc="4AECC840">
      <w:start w:val="1"/>
      <w:numFmt w:val="decimal"/>
      <w:lvlText w:val="%1. "/>
      <w:lvlJc w:val="left"/>
      <w:pPr>
        <w:ind w:left="720" w:hanging="360"/>
      </w:pPr>
      <w:rPr>
        <w:rFonts w:hint="default"/>
        <w:b w:val="0"/>
        <w:i w:val="0"/>
        <w:color w:val="D90030"/>
        <w:sz w:val="40"/>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56B43A4"/>
    <w:multiLevelType w:val="hybridMultilevel"/>
    <w:tmpl w:val="72E09734"/>
    <w:lvl w:ilvl="0" w:tplc="EFB6D30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759446B"/>
    <w:multiLevelType w:val="hybridMultilevel"/>
    <w:tmpl w:val="165ABC9C"/>
    <w:lvl w:ilvl="0" w:tplc="BF1070D4">
      <w:start w:val="1"/>
      <w:numFmt w:val="bullet"/>
      <w:pStyle w:val="Paragraphedeliste"/>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57E819CC"/>
    <w:multiLevelType w:val="hybridMultilevel"/>
    <w:tmpl w:val="DDB60ED6"/>
    <w:lvl w:ilvl="0" w:tplc="275A1448">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1D57FD5"/>
    <w:multiLevelType w:val="hybridMultilevel"/>
    <w:tmpl w:val="D51C4E04"/>
    <w:lvl w:ilvl="0" w:tplc="E8ACA546">
      <w:start w:val="2"/>
      <w:numFmt w:val="bullet"/>
      <w:lvlText w:val="-"/>
      <w:lvlJc w:val="left"/>
      <w:pPr>
        <w:ind w:left="1071" w:hanging="711"/>
      </w:pPr>
      <w:rPr>
        <w:rFonts w:ascii="Trebuchet MS" w:eastAsiaTheme="minorHAnsi"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4194F2D"/>
    <w:multiLevelType w:val="hybridMultilevel"/>
    <w:tmpl w:val="98DA684A"/>
    <w:lvl w:ilvl="0" w:tplc="E99E0260">
      <w:start w:val="1"/>
      <w:numFmt w:val="bullet"/>
      <w:lvlText w:val="-"/>
      <w:lvlJc w:val="left"/>
      <w:pPr>
        <w:ind w:left="720" w:hanging="360"/>
      </w:pPr>
      <w:rPr>
        <w:rFonts w:ascii="Trebuchet MS" w:eastAsiaTheme="minorEastAsia"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67253BA4"/>
    <w:multiLevelType w:val="hybridMultilevel"/>
    <w:tmpl w:val="E71C9FE6"/>
    <w:lvl w:ilvl="0" w:tplc="66121D1A">
      <w:start w:val="1"/>
      <w:numFmt w:val="decimal"/>
      <w:lvlText w:val="%1.1"/>
      <w:lvlJc w:val="left"/>
      <w:pPr>
        <w:ind w:left="720" w:hanging="360"/>
      </w:pPr>
      <w:rPr>
        <w:rFonts w:ascii="Trebuchet MS" w:hAnsi="Trebuchet MS" w:hint="default"/>
        <w:b w:val="0"/>
        <w:i w:val="0"/>
        <w:color w:val="D90030"/>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9F11D12"/>
    <w:multiLevelType w:val="hybridMultilevel"/>
    <w:tmpl w:val="7304BE4A"/>
    <w:lvl w:ilvl="0" w:tplc="DFF08E16">
      <w:numFmt w:val="bullet"/>
      <w:lvlText w:val="-"/>
      <w:lvlJc w:val="left"/>
      <w:pPr>
        <w:ind w:left="720" w:hanging="360"/>
      </w:pPr>
      <w:rPr>
        <w:rFonts w:ascii="Trebuchet MS" w:eastAsiaTheme="minorHAnsi"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6CBA66F0"/>
    <w:multiLevelType w:val="hybridMultilevel"/>
    <w:tmpl w:val="C068D0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1D524B"/>
    <w:multiLevelType w:val="hybridMultilevel"/>
    <w:tmpl w:val="9B92C792"/>
    <w:lvl w:ilvl="0" w:tplc="E99E0260">
      <w:start w:val="1"/>
      <w:numFmt w:val="bullet"/>
      <w:lvlText w:val="-"/>
      <w:lvlJc w:val="left"/>
      <w:pPr>
        <w:ind w:left="720" w:hanging="360"/>
      </w:pPr>
      <w:rPr>
        <w:rFonts w:ascii="Trebuchet MS" w:eastAsiaTheme="minorEastAsia"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72655DC5"/>
    <w:multiLevelType w:val="hybridMultilevel"/>
    <w:tmpl w:val="BF3A8724"/>
    <w:lvl w:ilvl="0" w:tplc="EACE983E">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744E2588"/>
    <w:multiLevelType w:val="hybridMultilevel"/>
    <w:tmpl w:val="AC24547A"/>
    <w:lvl w:ilvl="0" w:tplc="E99E0260">
      <w:start w:val="1"/>
      <w:numFmt w:val="bullet"/>
      <w:lvlText w:val="-"/>
      <w:lvlJc w:val="left"/>
      <w:pPr>
        <w:ind w:left="720" w:hanging="360"/>
      </w:pPr>
      <w:rPr>
        <w:rFonts w:ascii="Trebuchet MS" w:eastAsiaTheme="minorEastAsia" w:hAnsi="Trebuchet M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756A2E9A"/>
    <w:multiLevelType w:val="hybridMultilevel"/>
    <w:tmpl w:val="D4FC68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6612903"/>
    <w:multiLevelType w:val="hybridMultilevel"/>
    <w:tmpl w:val="0B306CBE"/>
    <w:lvl w:ilvl="0" w:tplc="EFB6D30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89469D"/>
    <w:multiLevelType w:val="hybridMultilevel"/>
    <w:tmpl w:val="5A446B18"/>
    <w:lvl w:ilvl="0" w:tplc="EFB6D30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76276694">
    <w:abstractNumId w:val="19"/>
  </w:num>
  <w:num w:numId="2" w16cid:durableId="1109397537">
    <w:abstractNumId w:val="9"/>
  </w:num>
  <w:num w:numId="3" w16cid:durableId="355346417">
    <w:abstractNumId w:val="11"/>
  </w:num>
  <w:num w:numId="4" w16cid:durableId="1769423656">
    <w:abstractNumId w:val="25"/>
  </w:num>
  <w:num w:numId="5" w16cid:durableId="2083721171">
    <w:abstractNumId w:val="15"/>
  </w:num>
  <w:num w:numId="6" w16cid:durableId="1907445920">
    <w:abstractNumId w:val="27"/>
  </w:num>
  <w:num w:numId="7" w16cid:durableId="1570772973">
    <w:abstractNumId w:val="21"/>
  </w:num>
  <w:num w:numId="8" w16cid:durableId="348797958">
    <w:abstractNumId w:val="18"/>
  </w:num>
  <w:num w:numId="9" w16cid:durableId="700014619">
    <w:abstractNumId w:val="12"/>
  </w:num>
  <w:num w:numId="10" w16cid:durableId="1212109613">
    <w:abstractNumId w:val="8"/>
  </w:num>
  <w:num w:numId="11" w16cid:durableId="1118181231">
    <w:abstractNumId w:val="5"/>
  </w:num>
  <w:num w:numId="12" w16cid:durableId="1886870536">
    <w:abstractNumId w:val="7"/>
  </w:num>
  <w:num w:numId="13" w16cid:durableId="2145346554">
    <w:abstractNumId w:val="4"/>
  </w:num>
  <w:num w:numId="14" w16cid:durableId="2036692702">
    <w:abstractNumId w:val="10"/>
  </w:num>
  <w:num w:numId="15" w16cid:durableId="2056660809">
    <w:abstractNumId w:val="23"/>
  </w:num>
  <w:num w:numId="16" w16cid:durableId="836844909">
    <w:abstractNumId w:val="0"/>
  </w:num>
  <w:num w:numId="17" w16cid:durableId="430273721">
    <w:abstractNumId w:val="17"/>
  </w:num>
  <w:num w:numId="18" w16cid:durableId="1745108275">
    <w:abstractNumId w:val="24"/>
  </w:num>
  <w:num w:numId="19" w16cid:durableId="1823154605">
    <w:abstractNumId w:val="28"/>
  </w:num>
  <w:num w:numId="20" w16cid:durableId="127672904">
    <w:abstractNumId w:val="6"/>
  </w:num>
  <w:num w:numId="21" w16cid:durableId="599290701">
    <w:abstractNumId w:val="29"/>
  </w:num>
  <w:num w:numId="22" w16cid:durableId="1402214745">
    <w:abstractNumId w:val="30"/>
  </w:num>
  <w:num w:numId="23" w16cid:durableId="853224133">
    <w:abstractNumId w:val="26"/>
  </w:num>
  <w:num w:numId="24" w16cid:durableId="591862868">
    <w:abstractNumId w:val="16"/>
  </w:num>
  <w:num w:numId="25" w16cid:durableId="185367645">
    <w:abstractNumId w:val="22"/>
  </w:num>
  <w:num w:numId="26" w16cid:durableId="1069501309">
    <w:abstractNumId w:val="32"/>
  </w:num>
  <w:num w:numId="27" w16cid:durableId="1545829092">
    <w:abstractNumId w:val="3"/>
  </w:num>
  <w:num w:numId="28" w16cid:durableId="649478566">
    <w:abstractNumId w:val="31"/>
  </w:num>
  <w:num w:numId="29" w16cid:durableId="1198280592">
    <w:abstractNumId w:val="20"/>
  </w:num>
  <w:num w:numId="30" w16cid:durableId="1630437162">
    <w:abstractNumId w:val="14"/>
  </w:num>
  <w:num w:numId="31" w16cid:durableId="2106338991">
    <w:abstractNumId w:val="33"/>
  </w:num>
  <w:num w:numId="32" w16cid:durableId="1593515589">
    <w:abstractNumId w:val="1"/>
  </w:num>
  <w:num w:numId="33" w16cid:durableId="1093546815">
    <w:abstractNumId w:val="2"/>
  </w:num>
  <w:num w:numId="34" w16cid:durableId="184682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attachedTemplate r:id="rId1"/>
  <w:defaultTabStop w:val="708"/>
  <w:hyphenationZone w:val="425"/>
  <w:defaultTableStyle w:val="Solidaris"/>
  <w:characterSpacingControl w:val="doNotCompress"/>
  <w:hdrShapeDefaults>
    <o:shapedefaults v:ext="edit" spidmax="2050">
      <o:colormru v:ext="edit" colors="#f2d9d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54"/>
    <w:rsid w:val="00000178"/>
    <w:rsid w:val="00000541"/>
    <w:rsid w:val="000016A0"/>
    <w:rsid w:val="00001D40"/>
    <w:rsid w:val="00004C17"/>
    <w:rsid w:val="00005FFE"/>
    <w:rsid w:val="00006A76"/>
    <w:rsid w:val="00007A27"/>
    <w:rsid w:val="00010BD9"/>
    <w:rsid w:val="00012DC1"/>
    <w:rsid w:val="000131B8"/>
    <w:rsid w:val="00013DCD"/>
    <w:rsid w:val="00014EA8"/>
    <w:rsid w:val="00014EB0"/>
    <w:rsid w:val="00016493"/>
    <w:rsid w:val="00016D70"/>
    <w:rsid w:val="000171E4"/>
    <w:rsid w:val="000209C0"/>
    <w:rsid w:val="0002188E"/>
    <w:rsid w:val="00022B33"/>
    <w:rsid w:val="000234CF"/>
    <w:rsid w:val="0002373F"/>
    <w:rsid w:val="00025045"/>
    <w:rsid w:val="000256F1"/>
    <w:rsid w:val="00025A72"/>
    <w:rsid w:val="00026B41"/>
    <w:rsid w:val="00026C55"/>
    <w:rsid w:val="0002727C"/>
    <w:rsid w:val="000409D6"/>
    <w:rsid w:val="00042DA0"/>
    <w:rsid w:val="00045FB3"/>
    <w:rsid w:val="000475FD"/>
    <w:rsid w:val="00055BFB"/>
    <w:rsid w:val="0005640D"/>
    <w:rsid w:val="00060793"/>
    <w:rsid w:val="00063E34"/>
    <w:rsid w:val="00063F74"/>
    <w:rsid w:val="00064F19"/>
    <w:rsid w:val="000713EF"/>
    <w:rsid w:val="00071EE6"/>
    <w:rsid w:val="00071F8B"/>
    <w:rsid w:val="0007275B"/>
    <w:rsid w:val="00073BDA"/>
    <w:rsid w:val="0007404F"/>
    <w:rsid w:val="0007468E"/>
    <w:rsid w:val="0007719B"/>
    <w:rsid w:val="00080486"/>
    <w:rsid w:val="00081F11"/>
    <w:rsid w:val="00082164"/>
    <w:rsid w:val="000838A1"/>
    <w:rsid w:val="000849E6"/>
    <w:rsid w:val="00085EB9"/>
    <w:rsid w:val="00086003"/>
    <w:rsid w:val="000924CE"/>
    <w:rsid w:val="00096442"/>
    <w:rsid w:val="00096C2E"/>
    <w:rsid w:val="000978CC"/>
    <w:rsid w:val="00097C90"/>
    <w:rsid w:val="000A017D"/>
    <w:rsid w:val="000A1C05"/>
    <w:rsid w:val="000A4086"/>
    <w:rsid w:val="000A471D"/>
    <w:rsid w:val="000A4C1F"/>
    <w:rsid w:val="000A5F4E"/>
    <w:rsid w:val="000A7C51"/>
    <w:rsid w:val="000B0619"/>
    <w:rsid w:val="000B462C"/>
    <w:rsid w:val="000B4BD2"/>
    <w:rsid w:val="000B6585"/>
    <w:rsid w:val="000C01C2"/>
    <w:rsid w:val="000C1BF0"/>
    <w:rsid w:val="000C41C4"/>
    <w:rsid w:val="000C615A"/>
    <w:rsid w:val="000C6AAF"/>
    <w:rsid w:val="000D2395"/>
    <w:rsid w:val="000D295E"/>
    <w:rsid w:val="000D37AB"/>
    <w:rsid w:val="000E0259"/>
    <w:rsid w:val="000E0882"/>
    <w:rsid w:val="000E2519"/>
    <w:rsid w:val="000E56A7"/>
    <w:rsid w:val="000E796A"/>
    <w:rsid w:val="000F034F"/>
    <w:rsid w:val="000F20B2"/>
    <w:rsid w:val="000F2E17"/>
    <w:rsid w:val="000F41D2"/>
    <w:rsid w:val="000F5121"/>
    <w:rsid w:val="000F532C"/>
    <w:rsid w:val="000F5733"/>
    <w:rsid w:val="000F577B"/>
    <w:rsid w:val="000F5E8A"/>
    <w:rsid w:val="00100362"/>
    <w:rsid w:val="00101027"/>
    <w:rsid w:val="00101221"/>
    <w:rsid w:val="001017C3"/>
    <w:rsid w:val="00101EF6"/>
    <w:rsid w:val="00102D0D"/>
    <w:rsid w:val="00103391"/>
    <w:rsid w:val="00103E5B"/>
    <w:rsid w:val="0010467A"/>
    <w:rsid w:val="00105DF8"/>
    <w:rsid w:val="0010675F"/>
    <w:rsid w:val="0011206F"/>
    <w:rsid w:val="00114204"/>
    <w:rsid w:val="001153FB"/>
    <w:rsid w:val="00115E4F"/>
    <w:rsid w:val="00117E6E"/>
    <w:rsid w:val="001211D3"/>
    <w:rsid w:val="001219C2"/>
    <w:rsid w:val="00122ED5"/>
    <w:rsid w:val="00123ACD"/>
    <w:rsid w:val="00123D28"/>
    <w:rsid w:val="00124C2A"/>
    <w:rsid w:val="00125DEF"/>
    <w:rsid w:val="00132A36"/>
    <w:rsid w:val="00134589"/>
    <w:rsid w:val="00134BB4"/>
    <w:rsid w:val="00135371"/>
    <w:rsid w:val="0014438B"/>
    <w:rsid w:val="001444C4"/>
    <w:rsid w:val="001508AC"/>
    <w:rsid w:val="00152045"/>
    <w:rsid w:val="001543E6"/>
    <w:rsid w:val="00160947"/>
    <w:rsid w:val="00163CD7"/>
    <w:rsid w:val="00163DCC"/>
    <w:rsid w:val="001644B4"/>
    <w:rsid w:val="00164601"/>
    <w:rsid w:val="001649C0"/>
    <w:rsid w:val="00166750"/>
    <w:rsid w:val="001761DB"/>
    <w:rsid w:val="0018130D"/>
    <w:rsid w:val="00183039"/>
    <w:rsid w:val="00184B11"/>
    <w:rsid w:val="00186F39"/>
    <w:rsid w:val="00187127"/>
    <w:rsid w:val="00187EB7"/>
    <w:rsid w:val="0019368F"/>
    <w:rsid w:val="001951F8"/>
    <w:rsid w:val="0019763E"/>
    <w:rsid w:val="001A025F"/>
    <w:rsid w:val="001A23EB"/>
    <w:rsid w:val="001A28E8"/>
    <w:rsid w:val="001A30F2"/>
    <w:rsid w:val="001A32B7"/>
    <w:rsid w:val="001A32C1"/>
    <w:rsid w:val="001A33AD"/>
    <w:rsid w:val="001A35F5"/>
    <w:rsid w:val="001A40FA"/>
    <w:rsid w:val="001A4D88"/>
    <w:rsid w:val="001A7511"/>
    <w:rsid w:val="001A7AB7"/>
    <w:rsid w:val="001B027A"/>
    <w:rsid w:val="001B1AD6"/>
    <w:rsid w:val="001B23A6"/>
    <w:rsid w:val="001B27BC"/>
    <w:rsid w:val="001B2AE1"/>
    <w:rsid w:val="001B5120"/>
    <w:rsid w:val="001B5942"/>
    <w:rsid w:val="001B5B2A"/>
    <w:rsid w:val="001B5FFB"/>
    <w:rsid w:val="001B67D0"/>
    <w:rsid w:val="001B6C59"/>
    <w:rsid w:val="001B762D"/>
    <w:rsid w:val="001B79D8"/>
    <w:rsid w:val="001B7EEA"/>
    <w:rsid w:val="001C0940"/>
    <w:rsid w:val="001C0E42"/>
    <w:rsid w:val="001C16A5"/>
    <w:rsid w:val="001C425F"/>
    <w:rsid w:val="001C5D2D"/>
    <w:rsid w:val="001C68C8"/>
    <w:rsid w:val="001D0494"/>
    <w:rsid w:val="001D3A71"/>
    <w:rsid w:val="001D4CF4"/>
    <w:rsid w:val="001D4F22"/>
    <w:rsid w:val="001D67D1"/>
    <w:rsid w:val="001D7E18"/>
    <w:rsid w:val="001E2A7C"/>
    <w:rsid w:val="001E5084"/>
    <w:rsid w:val="001E5E69"/>
    <w:rsid w:val="001E77F8"/>
    <w:rsid w:val="001F0088"/>
    <w:rsid w:val="001F2D16"/>
    <w:rsid w:val="001F36C6"/>
    <w:rsid w:val="001F3791"/>
    <w:rsid w:val="001F402C"/>
    <w:rsid w:val="001F45AB"/>
    <w:rsid w:val="001F5029"/>
    <w:rsid w:val="001F55EC"/>
    <w:rsid w:val="001F58F0"/>
    <w:rsid w:val="0020151C"/>
    <w:rsid w:val="00201B0E"/>
    <w:rsid w:val="00205308"/>
    <w:rsid w:val="00210553"/>
    <w:rsid w:val="002118E3"/>
    <w:rsid w:val="00211EFD"/>
    <w:rsid w:val="002149EF"/>
    <w:rsid w:val="00214F5C"/>
    <w:rsid w:val="00215FD9"/>
    <w:rsid w:val="00224CD6"/>
    <w:rsid w:val="00225369"/>
    <w:rsid w:val="00226B21"/>
    <w:rsid w:val="0023125E"/>
    <w:rsid w:val="00231D7F"/>
    <w:rsid w:val="00231DBF"/>
    <w:rsid w:val="002320BE"/>
    <w:rsid w:val="00232CC4"/>
    <w:rsid w:val="00233F29"/>
    <w:rsid w:val="00234A66"/>
    <w:rsid w:val="0023508C"/>
    <w:rsid w:val="00235400"/>
    <w:rsid w:val="00235AAA"/>
    <w:rsid w:val="002361DA"/>
    <w:rsid w:val="002420A2"/>
    <w:rsid w:val="002429E3"/>
    <w:rsid w:val="00242E23"/>
    <w:rsid w:val="0024381E"/>
    <w:rsid w:val="00244C24"/>
    <w:rsid w:val="00245F13"/>
    <w:rsid w:val="002463C1"/>
    <w:rsid w:val="00252722"/>
    <w:rsid w:val="00253E99"/>
    <w:rsid w:val="0025426C"/>
    <w:rsid w:val="00256C41"/>
    <w:rsid w:val="00257375"/>
    <w:rsid w:val="002574DD"/>
    <w:rsid w:val="00257C10"/>
    <w:rsid w:val="00261245"/>
    <w:rsid w:val="002612EA"/>
    <w:rsid w:val="002613F9"/>
    <w:rsid w:val="0026283F"/>
    <w:rsid w:val="00264671"/>
    <w:rsid w:val="002646FC"/>
    <w:rsid w:val="00264A4B"/>
    <w:rsid w:val="00265A52"/>
    <w:rsid w:val="00266278"/>
    <w:rsid w:val="00266B8D"/>
    <w:rsid w:val="0027093C"/>
    <w:rsid w:val="00272FF2"/>
    <w:rsid w:val="00277071"/>
    <w:rsid w:val="0027742A"/>
    <w:rsid w:val="0028153F"/>
    <w:rsid w:val="00281FD7"/>
    <w:rsid w:val="002834FE"/>
    <w:rsid w:val="00284633"/>
    <w:rsid w:val="002856C4"/>
    <w:rsid w:val="00285CBE"/>
    <w:rsid w:val="002938F3"/>
    <w:rsid w:val="002939FD"/>
    <w:rsid w:val="00295C2E"/>
    <w:rsid w:val="002968DE"/>
    <w:rsid w:val="00297934"/>
    <w:rsid w:val="00297DCF"/>
    <w:rsid w:val="002A5B52"/>
    <w:rsid w:val="002A6368"/>
    <w:rsid w:val="002A75FE"/>
    <w:rsid w:val="002B1F97"/>
    <w:rsid w:val="002B535C"/>
    <w:rsid w:val="002B7225"/>
    <w:rsid w:val="002B725D"/>
    <w:rsid w:val="002B7928"/>
    <w:rsid w:val="002C0924"/>
    <w:rsid w:val="002C52A8"/>
    <w:rsid w:val="002C7001"/>
    <w:rsid w:val="002D0DC4"/>
    <w:rsid w:val="002D26B1"/>
    <w:rsid w:val="002D3418"/>
    <w:rsid w:val="002D5E93"/>
    <w:rsid w:val="002D675F"/>
    <w:rsid w:val="002D6F06"/>
    <w:rsid w:val="002E06B9"/>
    <w:rsid w:val="002E14EB"/>
    <w:rsid w:val="002E2177"/>
    <w:rsid w:val="002E2B85"/>
    <w:rsid w:val="002E304F"/>
    <w:rsid w:val="002E41DB"/>
    <w:rsid w:val="002E6717"/>
    <w:rsid w:val="002E73AF"/>
    <w:rsid w:val="002E7A04"/>
    <w:rsid w:val="002F035C"/>
    <w:rsid w:val="002F0D3D"/>
    <w:rsid w:val="002F2B58"/>
    <w:rsid w:val="002F7589"/>
    <w:rsid w:val="00300338"/>
    <w:rsid w:val="00300AE5"/>
    <w:rsid w:val="00301FD6"/>
    <w:rsid w:val="00302DBA"/>
    <w:rsid w:val="0030389C"/>
    <w:rsid w:val="00304A51"/>
    <w:rsid w:val="00307CB9"/>
    <w:rsid w:val="003103FA"/>
    <w:rsid w:val="003105B7"/>
    <w:rsid w:val="003152AD"/>
    <w:rsid w:val="00317BA2"/>
    <w:rsid w:val="0032164C"/>
    <w:rsid w:val="00322455"/>
    <w:rsid w:val="0032252B"/>
    <w:rsid w:val="00322E72"/>
    <w:rsid w:val="00324CDE"/>
    <w:rsid w:val="0032785A"/>
    <w:rsid w:val="0032785D"/>
    <w:rsid w:val="00327F08"/>
    <w:rsid w:val="0033044F"/>
    <w:rsid w:val="00330807"/>
    <w:rsid w:val="003325BE"/>
    <w:rsid w:val="00333595"/>
    <w:rsid w:val="00334983"/>
    <w:rsid w:val="0033781D"/>
    <w:rsid w:val="00340779"/>
    <w:rsid w:val="00342B84"/>
    <w:rsid w:val="00343CB0"/>
    <w:rsid w:val="00343E36"/>
    <w:rsid w:val="00344638"/>
    <w:rsid w:val="00346166"/>
    <w:rsid w:val="0034663F"/>
    <w:rsid w:val="003501E0"/>
    <w:rsid w:val="003514DE"/>
    <w:rsid w:val="0035278B"/>
    <w:rsid w:val="00354811"/>
    <w:rsid w:val="0035545C"/>
    <w:rsid w:val="00356277"/>
    <w:rsid w:val="00356943"/>
    <w:rsid w:val="00357029"/>
    <w:rsid w:val="00362D03"/>
    <w:rsid w:val="00363366"/>
    <w:rsid w:val="00363939"/>
    <w:rsid w:val="00363BF3"/>
    <w:rsid w:val="003648E6"/>
    <w:rsid w:val="00365B35"/>
    <w:rsid w:val="00365CC3"/>
    <w:rsid w:val="00366197"/>
    <w:rsid w:val="0036636D"/>
    <w:rsid w:val="0036648E"/>
    <w:rsid w:val="00367E5C"/>
    <w:rsid w:val="0037158A"/>
    <w:rsid w:val="00373CBB"/>
    <w:rsid w:val="003748E4"/>
    <w:rsid w:val="0037644A"/>
    <w:rsid w:val="00376F8E"/>
    <w:rsid w:val="003835B6"/>
    <w:rsid w:val="0038374A"/>
    <w:rsid w:val="00384E4F"/>
    <w:rsid w:val="00386EA7"/>
    <w:rsid w:val="00387D7F"/>
    <w:rsid w:val="00387EA9"/>
    <w:rsid w:val="00391F36"/>
    <w:rsid w:val="0039243D"/>
    <w:rsid w:val="00392A5E"/>
    <w:rsid w:val="00392DA8"/>
    <w:rsid w:val="003959FE"/>
    <w:rsid w:val="003961EE"/>
    <w:rsid w:val="003A0A6A"/>
    <w:rsid w:val="003A135F"/>
    <w:rsid w:val="003A1F00"/>
    <w:rsid w:val="003A61F5"/>
    <w:rsid w:val="003A7898"/>
    <w:rsid w:val="003A7F86"/>
    <w:rsid w:val="003B1544"/>
    <w:rsid w:val="003B2615"/>
    <w:rsid w:val="003B2921"/>
    <w:rsid w:val="003B63A5"/>
    <w:rsid w:val="003B71FC"/>
    <w:rsid w:val="003B7A26"/>
    <w:rsid w:val="003C039C"/>
    <w:rsid w:val="003C0DCD"/>
    <w:rsid w:val="003C1252"/>
    <w:rsid w:val="003C245E"/>
    <w:rsid w:val="003D3867"/>
    <w:rsid w:val="003D443F"/>
    <w:rsid w:val="003D4876"/>
    <w:rsid w:val="003D4DAE"/>
    <w:rsid w:val="003D6398"/>
    <w:rsid w:val="003D6D00"/>
    <w:rsid w:val="003D7007"/>
    <w:rsid w:val="003E4196"/>
    <w:rsid w:val="003E4F60"/>
    <w:rsid w:val="003E6E68"/>
    <w:rsid w:val="003F0595"/>
    <w:rsid w:val="003F1361"/>
    <w:rsid w:val="003F1416"/>
    <w:rsid w:val="003F16F0"/>
    <w:rsid w:val="003F200A"/>
    <w:rsid w:val="003F2B50"/>
    <w:rsid w:val="00400CCC"/>
    <w:rsid w:val="004021B9"/>
    <w:rsid w:val="004024EA"/>
    <w:rsid w:val="00402540"/>
    <w:rsid w:val="004034C5"/>
    <w:rsid w:val="00403C0F"/>
    <w:rsid w:val="00403CA2"/>
    <w:rsid w:val="0040650E"/>
    <w:rsid w:val="00406DCE"/>
    <w:rsid w:val="00407154"/>
    <w:rsid w:val="00411D24"/>
    <w:rsid w:val="00411E7B"/>
    <w:rsid w:val="00412EB0"/>
    <w:rsid w:val="00414F48"/>
    <w:rsid w:val="004156CA"/>
    <w:rsid w:val="00416668"/>
    <w:rsid w:val="0042221B"/>
    <w:rsid w:val="0042245B"/>
    <w:rsid w:val="00422D98"/>
    <w:rsid w:val="00423511"/>
    <w:rsid w:val="00423922"/>
    <w:rsid w:val="00423C6F"/>
    <w:rsid w:val="0042715A"/>
    <w:rsid w:val="0042791E"/>
    <w:rsid w:val="00431DD6"/>
    <w:rsid w:val="00434138"/>
    <w:rsid w:val="00435DAC"/>
    <w:rsid w:val="0043657F"/>
    <w:rsid w:val="004367CE"/>
    <w:rsid w:val="00441242"/>
    <w:rsid w:val="00441EDE"/>
    <w:rsid w:val="004436B3"/>
    <w:rsid w:val="00447CB0"/>
    <w:rsid w:val="00452AF8"/>
    <w:rsid w:val="00454CD3"/>
    <w:rsid w:val="004556DD"/>
    <w:rsid w:val="0045677E"/>
    <w:rsid w:val="00456AF8"/>
    <w:rsid w:val="00457BE0"/>
    <w:rsid w:val="0046419F"/>
    <w:rsid w:val="00465F10"/>
    <w:rsid w:val="0046672E"/>
    <w:rsid w:val="004725DD"/>
    <w:rsid w:val="00475D78"/>
    <w:rsid w:val="0048076B"/>
    <w:rsid w:val="004839A3"/>
    <w:rsid w:val="00484295"/>
    <w:rsid w:val="00487856"/>
    <w:rsid w:val="00490ECA"/>
    <w:rsid w:val="004913E6"/>
    <w:rsid w:val="0049200A"/>
    <w:rsid w:val="0049383E"/>
    <w:rsid w:val="00494395"/>
    <w:rsid w:val="004948A6"/>
    <w:rsid w:val="00495F05"/>
    <w:rsid w:val="00496276"/>
    <w:rsid w:val="004A0011"/>
    <w:rsid w:val="004A3954"/>
    <w:rsid w:val="004A52D5"/>
    <w:rsid w:val="004A5E8D"/>
    <w:rsid w:val="004A5F00"/>
    <w:rsid w:val="004A632A"/>
    <w:rsid w:val="004B0205"/>
    <w:rsid w:val="004B5557"/>
    <w:rsid w:val="004B5E13"/>
    <w:rsid w:val="004B60A2"/>
    <w:rsid w:val="004C2580"/>
    <w:rsid w:val="004C465C"/>
    <w:rsid w:val="004C5B3D"/>
    <w:rsid w:val="004C67A4"/>
    <w:rsid w:val="004C7959"/>
    <w:rsid w:val="004D0BF1"/>
    <w:rsid w:val="004D1997"/>
    <w:rsid w:val="004D3FE7"/>
    <w:rsid w:val="004D54C3"/>
    <w:rsid w:val="004D5671"/>
    <w:rsid w:val="004D5B0C"/>
    <w:rsid w:val="004D635D"/>
    <w:rsid w:val="004D6E9E"/>
    <w:rsid w:val="004D7555"/>
    <w:rsid w:val="004E1875"/>
    <w:rsid w:val="004E3242"/>
    <w:rsid w:val="004E609D"/>
    <w:rsid w:val="004E7ED1"/>
    <w:rsid w:val="004F07D8"/>
    <w:rsid w:val="004F39C3"/>
    <w:rsid w:val="004F5687"/>
    <w:rsid w:val="004F56FB"/>
    <w:rsid w:val="004F5D05"/>
    <w:rsid w:val="004F6050"/>
    <w:rsid w:val="004F6A3B"/>
    <w:rsid w:val="00501E76"/>
    <w:rsid w:val="00502570"/>
    <w:rsid w:val="00502A95"/>
    <w:rsid w:val="00503716"/>
    <w:rsid w:val="00503FD6"/>
    <w:rsid w:val="00504CBC"/>
    <w:rsid w:val="005052D2"/>
    <w:rsid w:val="0050540F"/>
    <w:rsid w:val="00505BC8"/>
    <w:rsid w:val="00507868"/>
    <w:rsid w:val="00513AF5"/>
    <w:rsid w:val="0051418D"/>
    <w:rsid w:val="005151F9"/>
    <w:rsid w:val="00516390"/>
    <w:rsid w:val="00516894"/>
    <w:rsid w:val="0052051F"/>
    <w:rsid w:val="00521052"/>
    <w:rsid w:val="005236C1"/>
    <w:rsid w:val="005254F5"/>
    <w:rsid w:val="00526044"/>
    <w:rsid w:val="005317C8"/>
    <w:rsid w:val="005326B2"/>
    <w:rsid w:val="005335BA"/>
    <w:rsid w:val="00537B2B"/>
    <w:rsid w:val="005405EA"/>
    <w:rsid w:val="00542605"/>
    <w:rsid w:val="005432AF"/>
    <w:rsid w:val="00543FA9"/>
    <w:rsid w:val="0054405E"/>
    <w:rsid w:val="00545A2F"/>
    <w:rsid w:val="005466A7"/>
    <w:rsid w:val="00550C4F"/>
    <w:rsid w:val="005516CA"/>
    <w:rsid w:val="00553694"/>
    <w:rsid w:val="00553941"/>
    <w:rsid w:val="00554FAE"/>
    <w:rsid w:val="00555D80"/>
    <w:rsid w:val="0055672B"/>
    <w:rsid w:val="00557E40"/>
    <w:rsid w:val="00560319"/>
    <w:rsid w:val="00562FBF"/>
    <w:rsid w:val="00566564"/>
    <w:rsid w:val="005667C0"/>
    <w:rsid w:val="00567F44"/>
    <w:rsid w:val="00571BC9"/>
    <w:rsid w:val="00571EEA"/>
    <w:rsid w:val="005747A6"/>
    <w:rsid w:val="00582A61"/>
    <w:rsid w:val="00587615"/>
    <w:rsid w:val="00587764"/>
    <w:rsid w:val="00590B9E"/>
    <w:rsid w:val="005921F1"/>
    <w:rsid w:val="00594122"/>
    <w:rsid w:val="0059764D"/>
    <w:rsid w:val="005A26ED"/>
    <w:rsid w:val="005A2BA8"/>
    <w:rsid w:val="005A2CFF"/>
    <w:rsid w:val="005A3591"/>
    <w:rsid w:val="005A3915"/>
    <w:rsid w:val="005A555A"/>
    <w:rsid w:val="005A7EA6"/>
    <w:rsid w:val="005B112E"/>
    <w:rsid w:val="005B1CA8"/>
    <w:rsid w:val="005B2684"/>
    <w:rsid w:val="005B27E4"/>
    <w:rsid w:val="005B2A1A"/>
    <w:rsid w:val="005B65E9"/>
    <w:rsid w:val="005B7BBA"/>
    <w:rsid w:val="005C47FC"/>
    <w:rsid w:val="005C5B7F"/>
    <w:rsid w:val="005C68E7"/>
    <w:rsid w:val="005D05D7"/>
    <w:rsid w:val="005D3343"/>
    <w:rsid w:val="005D3842"/>
    <w:rsid w:val="005D4B7A"/>
    <w:rsid w:val="005E08A3"/>
    <w:rsid w:val="005E183A"/>
    <w:rsid w:val="005E3AB8"/>
    <w:rsid w:val="005E54F2"/>
    <w:rsid w:val="005F057B"/>
    <w:rsid w:val="005F20FF"/>
    <w:rsid w:val="005F3680"/>
    <w:rsid w:val="005F4823"/>
    <w:rsid w:val="005F4DB9"/>
    <w:rsid w:val="005F7474"/>
    <w:rsid w:val="00600183"/>
    <w:rsid w:val="00601E1F"/>
    <w:rsid w:val="00602484"/>
    <w:rsid w:val="0060384C"/>
    <w:rsid w:val="006069E3"/>
    <w:rsid w:val="00610CEA"/>
    <w:rsid w:val="00612432"/>
    <w:rsid w:val="006132B2"/>
    <w:rsid w:val="006146FF"/>
    <w:rsid w:val="00615363"/>
    <w:rsid w:val="006159F4"/>
    <w:rsid w:val="00627519"/>
    <w:rsid w:val="00627AF2"/>
    <w:rsid w:val="00630EE6"/>
    <w:rsid w:val="006324E9"/>
    <w:rsid w:val="00633AF5"/>
    <w:rsid w:val="006344E5"/>
    <w:rsid w:val="00635148"/>
    <w:rsid w:val="00635644"/>
    <w:rsid w:val="00635D60"/>
    <w:rsid w:val="00636106"/>
    <w:rsid w:val="00640F46"/>
    <w:rsid w:val="0064245C"/>
    <w:rsid w:val="00642840"/>
    <w:rsid w:val="00642EC7"/>
    <w:rsid w:val="0064442C"/>
    <w:rsid w:val="00645022"/>
    <w:rsid w:val="006457E9"/>
    <w:rsid w:val="006469D3"/>
    <w:rsid w:val="00647556"/>
    <w:rsid w:val="00647E2F"/>
    <w:rsid w:val="00650F78"/>
    <w:rsid w:val="00654145"/>
    <w:rsid w:val="00654EBC"/>
    <w:rsid w:val="00660D5F"/>
    <w:rsid w:val="00661607"/>
    <w:rsid w:val="00664E8D"/>
    <w:rsid w:val="00666931"/>
    <w:rsid w:val="00667812"/>
    <w:rsid w:val="00673000"/>
    <w:rsid w:val="00673096"/>
    <w:rsid w:val="006779FE"/>
    <w:rsid w:val="006817F0"/>
    <w:rsid w:val="00682F4A"/>
    <w:rsid w:val="00683B70"/>
    <w:rsid w:val="00685E22"/>
    <w:rsid w:val="0068608A"/>
    <w:rsid w:val="00687C2F"/>
    <w:rsid w:val="00690720"/>
    <w:rsid w:val="006932F9"/>
    <w:rsid w:val="0069393E"/>
    <w:rsid w:val="00694CB9"/>
    <w:rsid w:val="00696112"/>
    <w:rsid w:val="006967B7"/>
    <w:rsid w:val="00696813"/>
    <w:rsid w:val="00696E03"/>
    <w:rsid w:val="006A075A"/>
    <w:rsid w:val="006A0E4F"/>
    <w:rsid w:val="006A2B5F"/>
    <w:rsid w:val="006A2D01"/>
    <w:rsid w:val="006A4BA7"/>
    <w:rsid w:val="006A534D"/>
    <w:rsid w:val="006A64F2"/>
    <w:rsid w:val="006A7304"/>
    <w:rsid w:val="006B1086"/>
    <w:rsid w:val="006B1F6E"/>
    <w:rsid w:val="006B21CC"/>
    <w:rsid w:val="006B24C9"/>
    <w:rsid w:val="006B31D9"/>
    <w:rsid w:val="006C19AA"/>
    <w:rsid w:val="006C38F1"/>
    <w:rsid w:val="006C51ED"/>
    <w:rsid w:val="006C596C"/>
    <w:rsid w:val="006C64E1"/>
    <w:rsid w:val="006C70C5"/>
    <w:rsid w:val="006C770E"/>
    <w:rsid w:val="006D0C21"/>
    <w:rsid w:val="006D1174"/>
    <w:rsid w:val="006D18E3"/>
    <w:rsid w:val="006D549B"/>
    <w:rsid w:val="006D5D9B"/>
    <w:rsid w:val="006E00F4"/>
    <w:rsid w:val="006E1D2E"/>
    <w:rsid w:val="006E2EE9"/>
    <w:rsid w:val="006E4F28"/>
    <w:rsid w:val="006E53C4"/>
    <w:rsid w:val="006E65A2"/>
    <w:rsid w:val="006E690D"/>
    <w:rsid w:val="006E6FA0"/>
    <w:rsid w:val="006E7582"/>
    <w:rsid w:val="006F0BBB"/>
    <w:rsid w:val="006F163D"/>
    <w:rsid w:val="006F22AC"/>
    <w:rsid w:val="006F23FD"/>
    <w:rsid w:val="006F27C6"/>
    <w:rsid w:val="006F2935"/>
    <w:rsid w:val="006F4BAE"/>
    <w:rsid w:val="006F6118"/>
    <w:rsid w:val="006F67AC"/>
    <w:rsid w:val="006F7A04"/>
    <w:rsid w:val="006F7A7F"/>
    <w:rsid w:val="00700609"/>
    <w:rsid w:val="007033C3"/>
    <w:rsid w:val="00703E70"/>
    <w:rsid w:val="007044B5"/>
    <w:rsid w:val="00704EAE"/>
    <w:rsid w:val="00704EF1"/>
    <w:rsid w:val="00705B29"/>
    <w:rsid w:val="00712BFE"/>
    <w:rsid w:val="007131CA"/>
    <w:rsid w:val="00715FC2"/>
    <w:rsid w:val="00716861"/>
    <w:rsid w:val="007205CD"/>
    <w:rsid w:val="00721D22"/>
    <w:rsid w:val="0072362B"/>
    <w:rsid w:val="00723642"/>
    <w:rsid w:val="007240FE"/>
    <w:rsid w:val="007245FE"/>
    <w:rsid w:val="007247BB"/>
    <w:rsid w:val="00725493"/>
    <w:rsid w:val="0072558D"/>
    <w:rsid w:val="007302F0"/>
    <w:rsid w:val="00732368"/>
    <w:rsid w:val="0073251E"/>
    <w:rsid w:val="00733CC9"/>
    <w:rsid w:val="00734171"/>
    <w:rsid w:val="007367E5"/>
    <w:rsid w:val="00736CF8"/>
    <w:rsid w:val="0073740C"/>
    <w:rsid w:val="00742ABB"/>
    <w:rsid w:val="00743DB4"/>
    <w:rsid w:val="00744825"/>
    <w:rsid w:val="007456DC"/>
    <w:rsid w:val="00745F69"/>
    <w:rsid w:val="00751FEB"/>
    <w:rsid w:val="00752556"/>
    <w:rsid w:val="00752E3E"/>
    <w:rsid w:val="00754FEF"/>
    <w:rsid w:val="00756F3A"/>
    <w:rsid w:val="00757C53"/>
    <w:rsid w:val="0076042A"/>
    <w:rsid w:val="007663F0"/>
    <w:rsid w:val="00766A71"/>
    <w:rsid w:val="0076779E"/>
    <w:rsid w:val="0077414E"/>
    <w:rsid w:val="007753BF"/>
    <w:rsid w:val="00775D9C"/>
    <w:rsid w:val="00776525"/>
    <w:rsid w:val="00777201"/>
    <w:rsid w:val="007807DE"/>
    <w:rsid w:val="00780A39"/>
    <w:rsid w:val="007827A4"/>
    <w:rsid w:val="00782A72"/>
    <w:rsid w:val="0078320B"/>
    <w:rsid w:val="00787477"/>
    <w:rsid w:val="00790EED"/>
    <w:rsid w:val="0079315B"/>
    <w:rsid w:val="00795E1B"/>
    <w:rsid w:val="007973F3"/>
    <w:rsid w:val="007A2181"/>
    <w:rsid w:val="007A2C87"/>
    <w:rsid w:val="007A44D1"/>
    <w:rsid w:val="007A604B"/>
    <w:rsid w:val="007B2D07"/>
    <w:rsid w:val="007B3C89"/>
    <w:rsid w:val="007B5C67"/>
    <w:rsid w:val="007B6707"/>
    <w:rsid w:val="007C1E60"/>
    <w:rsid w:val="007C34A0"/>
    <w:rsid w:val="007C57E9"/>
    <w:rsid w:val="007C682B"/>
    <w:rsid w:val="007C6E02"/>
    <w:rsid w:val="007C77E5"/>
    <w:rsid w:val="007D129B"/>
    <w:rsid w:val="007D30E8"/>
    <w:rsid w:val="007D3CAA"/>
    <w:rsid w:val="007D60F6"/>
    <w:rsid w:val="007D7EF5"/>
    <w:rsid w:val="007E1F1B"/>
    <w:rsid w:val="007E2B06"/>
    <w:rsid w:val="007E3A72"/>
    <w:rsid w:val="007E59D4"/>
    <w:rsid w:val="007E62B8"/>
    <w:rsid w:val="007E63B6"/>
    <w:rsid w:val="007E6DFB"/>
    <w:rsid w:val="007F199B"/>
    <w:rsid w:val="007F2EBD"/>
    <w:rsid w:val="007F43B6"/>
    <w:rsid w:val="007F4DCE"/>
    <w:rsid w:val="007F5623"/>
    <w:rsid w:val="007F5F50"/>
    <w:rsid w:val="00800196"/>
    <w:rsid w:val="008012EC"/>
    <w:rsid w:val="00802EA6"/>
    <w:rsid w:val="00805198"/>
    <w:rsid w:val="0080738C"/>
    <w:rsid w:val="00807A52"/>
    <w:rsid w:val="00810317"/>
    <w:rsid w:val="00811A95"/>
    <w:rsid w:val="00811D94"/>
    <w:rsid w:val="00812066"/>
    <w:rsid w:val="00812442"/>
    <w:rsid w:val="00813E22"/>
    <w:rsid w:val="00814D8E"/>
    <w:rsid w:val="008153F3"/>
    <w:rsid w:val="008177C1"/>
    <w:rsid w:val="0082039E"/>
    <w:rsid w:val="00821143"/>
    <w:rsid w:val="00821820"/>
    <w:rsid w:val="00826134"/>
    <w:rsid w:val="00826E0A"/>
    <w:rsid w:val="00827F58"/>
    <w:rsid w:val="00831579"/>
    <w:rsid w:val="008316D3"/>
    <w:rsid w:val="00836997"/>
    <w:rsid w:val="008406A8"/>
    <w:rsid w:val="008412AF"/>
    <w:rsid w:val="00842297"/>
    <w:rsid w:val="008426ED"/>
    <w:rsid w:val="008443B0"/>
    <w:rsid w:val="00844C7A"/>
    <w:rsid w:val="0084756B"/>
    <w:rsid w:val="008528A5"/>
    <w:rsid w:val="00853730"/>
    <w:rsid w:val="00853E94"/>
    <w:rsid w:val="008543C8"/>
    <w:rsid w:val="008624B1"/>
    <w:rsid w:val="00863610"/>
    <w:rsid w:val="00863B93"/>
    <w:rsid w:val="008660B7"/>
    <w:rsid w:val="0086780B"/>
    <w:rsid w:val="00870682"/>
    <w:rsid w:val="008712F9"/>
    <w:rsid w:val="00871A29"/>
    <w:rsid w:val="0087291A"/>
    <w:rsid w:val="008746EA"/>
    <w:rsid w:val="008757CD"/>
    <w:rsid w:val="0087686F"/>
    <w:rsid w:val="00882F55"/>
    <w:rsid w:val="00884A43"/>
    <w:rsid w:val="00886C71"/>
    <w:rsid w:val="00891F15"/>
    <w:rsid w:val="008943BC"/>
    <w:rsid w:val="00895198"/>
    <w:rsid w:val="00896EF0"/>
    <w:rsid w:val="008A11C6"/>
    <w:rsid w:val="008A1ADF"/>
    <w:rsid w:val="008A376D"/>
    <w:rsid w:val="008A448A"/>
    <w:rsid w:val="008A5A40"/>
    <w:rsid w:val="008A67D9"/>
    <w:rsid w:val="008A6C6E"/>
    <w:rsid w:val="008B0FA6"/>
    <w:rsid w:val="008B2938"/>
    <w:rsid w:val="008B3AE5"/>
    <w:rsid w:val="008B3CC9"/>
    <w:rsid w:val="008B4E8E"/>
    <w:rsid w:val="008B5F5E"/>
    <w:rsid w:val="008B67BD"/>
    <w:rsid w:val="008B6DEA"/>
    <w:rsid w:val="008C3225"/>
    <w:rsid w:val="008C44C8"/>
    <w:rsid w:val="008C4D98"/>
    <w:rsid w:val="008C6016"/>
    <w:rsid w:val="008C6411"/>
    <w:rsid w:val="008C74C8"/>
    <w:rsid w:val="008D149A"/>
    <w:rsid w:val="008D1728"/>
    <w:rsid w:val="008D279F"/>
    <w:rsid w:val="008D449F"/>
    <w:rsid w:val="008D67B9"/>
    <w:rsid w:val="008D6868"/>
    <w:rsid w:val="008D7715"/>
    <w:rsid w:val="008D7F6A"/>
    <w:rsid w:val="008E0556"/>
    <w:rsid w:val="008E229E"/>
    <w:rsid w:val="008E3726"/>
    <w:rsid w:val="008E3DD1"/>
    <w:rsid w:val="008E4E7C"/>
    <w:rsid w:val="008E509D"/>
    <w:rsid w:val="008E540E"/>
    <w:rsid w:val="008E7662"/>
    <w:rsid w:val="008E78B9"/>
    <w:rsid w:val="008F0420"/>
    <w:rsid w:val="008F14D3"/>
    <w:rsid w:val="008F20D3"/>
    <w:rsid w:val="008F24EB"/>
    <w:rsid w:val="008F3433"/>
    <w:rsid w:val="008F3674"/>
    <w:rsid w:val="008F4C78"/>
    <w:rsid w:val="008F5BE7"/>
    <w:rsid w:val="008F670D"/>
    <w:rsid w:val="00901DE3"/>
    <w:rsid w:val="009022EC"/>
    <w:rsid w:val="00906040"/>
    <w:rsid w:val="00906AE4"/>
    <w:rsid w:val="00907703"/>
    <w:rsid w:val="00911E35"/>
    <w:rsid w:val="0092109D"/>
    <w:rsid w:val="009242DD"/>
    <w:rsid w:val="009320AF"/>
    <w:rsid w:val="00932CC1"/>
    <w:rsid w:val="00932F26"/>
    <w:rsid w:val="00933101"/>
    <w:rsid w:val="00934D7C"/>
    <w:rsid w:val="00936F57"/>
    <w:rsid w:val="0093796F"/>
    <w:rsid w:val="00941172"/>
    <w:rsid w:val="009428B2"/>
    <w:rsid w:val="00942AF8"/>
    <w:rsid w:val="00945157"/>
    <w:rsid w:val="00945866"/>
    <w:rsid w:val="00945CEB"/>
    <w:rsid w:val="009460F7"/>
    <w:rsid w:val="00946B90"/>
    <w:rsid w:val="00946CE3"/>
    <w:rsid w:val="00951901"/>
    <w:rsid w:val="0095249F"/>
    <w:rsid w:val="009525B7"/>
    <w:rsid w:val="00953F2E"/>
    <w:rsid w:val="00954949"/>
    <w:rsid w:val="00957475"/>
    <w:rsid w:val="0095797A"/>
    <w:rsid w:val="00957B93"/>
    <w:rsid w:val="00961297"/>
    <w:rsid w:val="00961368"/>
    <w:rsid w:val="00961BDE"/>
    <w:rsid w:val="009636B1"/>
    <w:rsid w:val="009642B9"/>
    <w:rsid w:val="00967133"/>
    <w:rsid w:val="00971B86"/>
    <w:rsid w:val="009732E8"/>
    <w:rsid w:val="009741AE"/>
    <w:rsid w:val="009749F3"/>
    <w:rsid w:val="00974E0E"/>
    <w:rsid w:val="00976524"/>
    <w:rsid w:val="009769EF"/>
    <w:rsid w:val="009773CF"/>
    <w:rsid w:val="009854F4"/>
    <w:rsid w:val="00987394"/>
    <w:rsid w:val="00987486"/>
    <w:rsid w:val="0098754B"/>
    <w:rsid w:val="00987550"/>
    <w:rsid w:val="009876F4"/>
    <w:rsid w:val="00990A87"/>
    <w:rsid w:val="00990C3E"/>
    <w:rsid w:val="00991EF4"/>
    <w:rsid w:val="00992120"/>
    <w:rsid w:val="00992194"/>
    <w:rsid w:val="00992CE6"/>
    <w:rsid w:val="0099585B"/>
    <w:rsid w:val="009A0C72"/>
    <w:rsid w:val="009A13AF"/>
    <w:rsid w:val="009A147D"/>
    <w:rsid w:val="009A1499"/>
    <w:rsid w:val="009A18B9"/>
    <w:rsid w:val="009A269E"/>
    <w:rsid w:val="009A3369"/>
    <w:rsid w:val="009A3AE4"/>
    <w:rsid w:val="009A40AE"/>
    <w:rsid w:val="009A4872"/>
    <w:rsid w:val="009A6832"/>
    <w:rsid w:val="009A683A"/>
    <w:rsid w:val="009A6AE0"/>
    <w:rsid w:val="009A77BD"/>
    <w:rsid w:val="009B0FB5"/>
    <w:rsid w:val="009B11D5"/>
    <w:rsid w:val="009B2F83"/>
    <w:rsid w:val="009B30E2"/>
    <w:rsid w:val="009B48DC"/>
    <w:rsid w:val="009B5155"/>
    <w:rsid w:val="009B5832"/>
    <w:rsid w:val="009B5B37"/>
    <w:rsid w:val="009B6A64"/>
    <w:rsid w:val="009B7002"/>
    <w:rsid w:val="009C09B5"/>
    <w:rsid w:val="009C1001"/>
    <w:rsid w:val="009C1598"/>
    <w:rsid w:val="009C15D0"/>
    <w:rsid w:val="009C1AFE"/>
    <w:rsid w:val="009C2844"/>
    <w:rsid w:val="009C2A04"/>
    <w:rsid w:val="009C2DF1"/>
    <w:rsid w:val="009C2EC8"/>
    <w:rsid w:val="009C310A"/>
    <w:rsid w:val="009C4E7C"/>
    <w:rsid w:val="009C67FD"/>
    <w:rsid w:val="009C6824"/>
    <w:rsid w:val="009D08EA"/>
    <w:rsid w:val="009D0AE8"/>
    <w:rsid w:val="009D163C"/>
    <w:rsid w:val="009D18A9"/>
    <w:rsid w:val="009D2A24"/>
    <w:rsid w:val="009D659A"/>
    <w:rsid w:val="009E0F49"/>
    <w:rsid w:val="009E179E"/>
    <w:rsid w:val="009E2AD5"/>
    <w:rsid w:val="009E2E71"/>
    <w:rsid w:val="009E5D76"/>
    <w:rsid w:val="009E72F7"/>
    <w:rsid w:val="009E7A85"/>
    <w:rsid w:val="009E7D19"/>
    <w:rsid w:val="009F118F"/>
    <w:rsid w:val="009F3465"/>
    <w:rsid w:val="009F688C"/>
    <w:rsid w:val="00A00637"/>
    <w:rsid w:val="00A01425"/>
    <w:rsid w:val="00A02C01"/>
    <w:rsid w:val="00A10A1F"/>
    <w:rsid w:val="00A11985"/>
    <w:rsid w:val="00A12C41"/>
    <w:rsid w:val="00A170DA"/>
    <w:rsid w:val="00A171E3"/>
    <w:rsid w:val="00A23C65"/>
    <w:rsid w:val="00A244FD"/>
    <w:rsid w:val="00A245B2"/>
    <w:rsid w:val="00A26E54"/>
    <w:rsid w:val="00A27373"/>
    <w:rsid w:val="00A30002"/>
    <w:rsid w:val="00A30933"/>
    <w:rsid w:val="00A30CDF"/>
    <w:rsid w:val="00A30FC4"/>
    <w:rsid w:val="00A328F3"/>
    <w:rsid w:val="00A330A5"/>
    <w:rsid w:val="00A33586"/>
    <w:rsid w:val="00A37AE5"/>
    <w:rsid w:val="00A4204A"/>
    <w:rsid w:val="00A44D7E"/>
    <w:rsid w:val="00A470D0"/>
    <w:rsid w:val="00A47A7A"/>
    <w:rsid w:val="00A51094"/>
    <w:rsid w:val="00A51AF5"/>
    <w:rsid w:val="00A531DC"/>
    <w:rsid w:val="00A53F3C"/>
    <w:rsid w:val="00A5421C"/>
    <w:rsid w:val="00A5713C"/>
    <w:rsid w:val="00A60267"/>
    <w:rsid w:val="00A60BEA"/>
    <w:rsid w:val="00A62C94"/>
    <w:rsid w:val="00A637D0"/>
    <w:rsid w:val="00A63BCF"/>
    <w:rsid w:val="00A657EB"/>
    <w:rsid w:val="00A6607A"/>
    <w:rsid w:val="00A70179"/>
    <w:rsid w:val="00A7097F"/>
    <w:rsid w:val="00A711FE"/>
    <w:rsid w:val="00A71933"/>
    <w:rsid w:val="00A71CD1"/>
    <w:rsid w:val="00A7285F"/>
    <w:rsid w:val="00A72A87"/>
    <w:rsid w:val="00A7303C"/>
    <w:rsid w:val="00A747DE"/>
    <w:rsid w:val="00A74F9B"/>
    <w:rsid w:val="00A760E9"/>
    <w:rsid w:val="00A77627"/>
    <w:rsid w:val="00A83D71"/>
    <w:rsid w:val="00A86387"/>
    <w:rsid w:val="00A871FF"/>
    <w:rsid w:val="00A87BEB"/>
    <w:rsid w:val="00A925AF"/>
    <w:rsid w:val="00A92BAA"/>
    <w:rsid w:val="00A94D0E"/>
    <w:rsid w:val="00A95766"/>
    <w:rsid w:val="00A97D16"/>
    <w:rsid w:val="00AA22BB"/>
    <w:rsid w:val="00AA2623"/>
    <w:rsid w:val="00AA3450"/>
    <w:rsid w:val="00AA4577"/>
    <w:rsid w:val="00AA4E64"/>
    <w:rsid w:val="00AA6CAD"/>
    <w:rsid w:val="00AA7F32"/>
    <w:rsid w:val="00AB26EA"/>
    <w:rsid w:val="00AB28A1"/>
    <w:rsid w:val="00AB304A"/>
    <w:rsid w:val="00AB364D"/>
    <w:rsid w:val="00AB54CF"/>
    <w:rsid w:val="00AB5F87"/>
    <w:rsid w:val="00AB702B"/>
    <w:rsid w:val="00AB7FF7"/>
    <w:rsid w:val="00AC03FF"/>
    <w:rsid w:val="00AC0846"/>
    <w:rsid w:val="00AC19DE"/>
    <w:rsid w:val="00AC428E"/>
    <w:rsid w:val="00AC5C6E"/>
    <w:rsid w:val="00AC7282"/>
    <w:rsid w:val="00AD007B"/>
    <w:rsid w:val="00AD031E"/>
    <w:rsid w:val="00AD073C"/>
    <w:rsid w:val="00AD575B"/>
    <w:rsid w:val="00AD59E8"/>
    <w:rsid w:val="00AD5C55"/>
    <w:rsid w:val="00AD64AB"/>
    <w:rsid w:val="00AD70C7"/>
    <w:rsid w:val="00AD77BF"/>
    <w:rsid w:val="00AE0131"/>
    <w:rsid w:val="00AE0630"/>
    <w:rsid w:val="00AE386F"/>
    <w:rsid w:val="00AE3F86"/>
    <w:rsid w:val="00AE4C89"/>
    <w:rsid w:val="00AE5165"/>
    <w:rsid w:val="00AF1D99"/>
    <w:rsid w:val="00AF2610"/>
    <w:rsid w:val="00AF5777"/>
    <w:rsid w:val="00AF5816"/>
    <w:rsid w:val="00AF5BA2"/>
    <w:rsid w:val="00AF640D"/>
    <w:rsid w:val="00B01A50"/>
    <w:rsid w:val="00B01B87"/>
    <w:rsid w:val="00B06C45"/>
    <w:rsid w:val="00B07EC1"/>
    <w:rsid w:val="00B10827"/>
    <w:rsid w:val="00B111E3"/>
    <w:rsid w:val="00B15AB3"/>
    <w:rsid w:val="00B16169"/>
    <w:rsid w:val="00B17FCE"/>
    <w:rsid w:val="00B23DB2"/>
    <w:rsid w:val="00B24195"/>
    <w:rsid w:val="00B241B8"/>
    <w:rsid w:val="00B249FC"/>
    <w:rsid w:val="00B2594B"/>
    <w:rsid w:val="00B361D0"/>
    <w:rsid w:val="00B365EE"/>
    <w:rsid w:val="00B3750C"/>
    <w:rsid w:val="00B37D1B"/>
    <w:rsid w:val="00B43A72"/>
    <w:rsid w:val="00B44B66"/>
    <w:rsid w:val="00B45921"/>
    <w:rsid w:val="00B47AC4"/>
    <w:rsid w:val="00B52A17"/>
    <w:rsid w:val="00B53814"/>
    <w:rsid w:val="00B53984"/>
    <w:rsid w:val="00B53B11"/>
    <w:rsid w:val="00B54DD0"/>
    <w:rsid w:val="00B568CC"/>
    <w:rsid w:val="00B609B8"/>
    <w:rsid w:val="00B61B97"/>
    <w:rsid w:val="00B65C43"/>
    <w:rsid w:val="00B67110"/>
    <w:rsid w:val="00B707C5"/>
    <w:rsid w:val="00B70E51"/>
    <w:rsid w:val="00B71099"/>
    <w:rsid w:val="00B72847"/>
    <w:rsid w:val="00B7319D"/>
    <w:rsid w:val="00B736D3"/>
    <w:rsid w:val="00B75A24"/>
    <w:rsid w:val="00B75DDB"/>
    <w:rsid w:val="00B77C97"/>
    <w:rsid w:val="00B808A1"/>
    <w:rsid w:val="00B80CD4"/>
    <w:rsid w:val="00B82FB1"/>
    <w:rsid w:val="00B850D2"/>
    <w:rsid w:val="00B87351"/>
    <w:rsid w:val="00B9077C"/>
    <w:rsid w:val="00B90D43"/>
    <w:rsid w:val="00B960AA"/>
    <w:rsid w:val="00BA0072"/>
    <w:rsid w:val="00BA1B97"/>
    <w:rsid w:val="00BA21DB"/>
    <w:rsid w:val="00BA21E4"/>
    <w:rsid w:val="00BA4A0A"/>
    <w:rsid w:val="00BA515F"/>
    <w:rsid w:val="00BA59E3"/>
    <w:rsid w:val="00BA644D"/>
    <w:rsid w:val="00BB31BC"/>
    <w:rsid w:val="00BB3712"/>
    <w:rsid w:val="00BB5C11"/>
    <w:rsid w:val="00BB6BF6"/>
    <w:rsid w:val="00BC2A2B"/>
    <w:rsid w:val="00BC4F9D"/>
    <w:rsid w:val="00BC5E46"/>
    <w:rsid w:val="00BC5E50"/>
    <w:rsid w:val="00BC7400"/>
    <w:rsid w:val="00BD1F09"/>
    <w:rsid w:val="00BD37B7"/>
    <w:rsid w:val="00BD5292"/>
    <w:rsid w:val="00BD5DEC"/>
    <w:rsid w:val="00BD6F27"/>
    <w:rsid w:val="00BD7033"/>
    <w:rsid w:val="00BE0606"/>
    <w:rsid w:val="00BE11EB"/>
    <w:rsid w:val="00BE179A"/>
    <w:rsid w:val="00BE20B9"/>
    <w:rsid w:val="00BE2138"/>
    <w:rsid w:val="00BE421A"/>
    <w:rsid w:val="00BE63A6"/>
    <w:rsid w:val="00BE6A3B"/>
    <w:rsid w:val="00BE722C"/>
    <w:rsid w:val="00BF03FA"/>
    <w:rsid w:val="00BF0A13"/>
    <w:rsid w:val="00BF2EF2"/>
    <w:rsid w:val="00BF3D67"/>
    <w:rsid w:val="00BF756C"/>
    <w:rsid w:val="00C00CA6"/>
    <w:rsid w:val="00C012F7"/>
    <w:rsid w:val="00C01D98"/>
    <w:rsid w:val="00C023D7"/>
    <w:rsid w:val="00C05FC0"/>
    <w:rsid w:val="00C06A2C"/>
    <w:rsid w:val="00C107FD"/>
    <w:rsid w:val="00C11C7D"/>
    <w:rsid w:val="00C12F78"/>
    <w:rsid w:val="00C15D9E"/>
    <w:rsid w:val="00C2071B"/>
    <w:rsid w:val="00C213F8"/>
    <w:rsid w:val="00C22794"/>
    <w:rsid w:val="00C2309D"/>
    <w:rsid w:val="00C2406F"/>
    <w:rsid w:val="00C253A4"/>
    <w:rsid w:val="00C26BE7"/>
    <w:rsid w:val="00C33351"/>
    <w:rsid w:val="00C347C9"/>
    <w:rsid w:val="00C35069"/>
    <w:rsid w:val="00C35FC8"/>
    <w:rsid w:val="00C3633E"/>
    <w:rsid w:val="00C42511"/>
    <w:rsid w:val="00C42ACD"/>
    <w:rsid w:val="00C42B3A"/>
    <w:rsid w:val="00C453C5"/>
    <w:rsid w:val="00C500EF"/>
    <w:rsid w:val="00C50320"/>
    <w:rsid w:val="00C5134B"/>
    <w:rsid w:val="00C5161E"/>
    <w:rsid w:val="00C534B0"/>
    <w:rsid w:val="00C54439"/>
    <w:rsid w:val="00C54851"/>
    <w:rsid w:val="00C54C1D"/>
    <w:rsid w:val="00C55149"/>
    <w:rsid w:val="00C55557"/>
    <w:rsid w:val="00C55D5C"/>
    <w:rsid w:val="00C6571D"/>
    <w:rsid w:val="00C6626E"/>
    <w:rsid w:val="00C67F06"/>
    <w:rsid w:val="00C72A17"/>
    <w:rsid w:val="00C73598"/>
    <w:rsid w:val="00C82F61"/>
    <w:rsid w:val="00C839A9"/>
    <w:rsid w:val="00C8565E"/>
    <w:rsid w:val="00C8587A"/>
    <w:rsid w:val="00C86AE0"/>
    <w:rsid w:val="00C86BF2"/>
    <w:rsid w:val="00C901B1"/>
    <w:rsid w:val="00C905C0"/>
    <w:rsid w:val="00C91181"/>
    <w:rsid w:val="00C92443"/>
    <w:rsid w:val="00C936CD"/>
    <w:rsid w:val="00C93818"/>
    <w:rsid w:val="00C939D9"/>
    <w:rsid w:val="00C93BE3"/>
    <w:rsid w:val="00C93F58"/>
    <w:rsid w:val="00C94ECE"/>
    <w:rsid w:val="00C97A2F"/>
    <w:rsid w:val="00C97D0C"/>
    <w:rsid w:val="00CA0C4D"/>
    <w:rsid w:val="00CA3DAE"/>
    <w:rsid w:val="00CA43B6"/>
    <w:rsid w:val="00CA46E4"/>
    <w:rsid w:val="00CA54D0"/>
    <w:rsid w:val="00CA6371"/>
    <w:rsid w:val="00CA65AA"/>
    <w:rsid w:val="00CA7048"/>
    <w:rsid w:val="00CB563E"/>
    <w:rsid w:val="00CB62C0"/>
    <w:rsid w:val="00CB781D"/>
    <w:rsid w:val="00CB789D"/>
    <w:rsid w:val="00CC0F02"/>
    <w:rsid w:val="00CC33EF"/>
    <w:rsid w:val="00CC44D6"/>
    <w:rsid w:val="00CC4B67"/>
    <w:rsid w:val="00CC518C"/>
    <w:rsid w:val="00CC5800"/>
    <w:rsid w:val="00CD2A71"/>
    <w:rsid w:val="00CD2C08"/>
    <w:rsid w:val="00CD4CB0"/>
    <w:rsid w:val="00CD6B8D"/>
    <w:rsid w:val="00CE3DD3"/>
    <w:rsid w:val="00CE6195"/>
    <w:rsid w:val="00CE70B8"/>
    <w:rsid w:val="00CF0FE9"/>
    <w:rsid w:val="00CF1DA2"/>
    <w:rsid w:val="00CF2173"/>
    <w:rsid w:val="00CF2842"/>
    <w:rsid w:val="00CF40BF"/>
    <w:rsid w:val="00CF5740"/>
    <w:rsid w:val="00CF7801"/>
    <w:rsid w:val="00D032AC"/>
    <w:rsid w:val="00D03B8D"/>
    <w:rsid w:val="00D0652B"/>
    <w:rsid w:val="00D06669"/>
    <w:rsid w:val="00D075A0"/>
    <w:rsid w:val="00D078AA"/>
    <w:rsid w:val="00D122E1"/>
    <w:rsid w:val="00D12813"/>
    <w:rsid w:val="00D12879"/>
    <w:rsid w:val="00D2212C"/>
    <w:rsid w:val="00D23920"/>
    <w:rsid w:val="00D24527"/>
    <w:rsid w:val="00D25B29"/>
    <w:rsid w:val="00D30AAD"/>
    <w:rsid w:val="00D31E20"/>
    <w:rsid w:val="00D32680"/>
    <w:rsid w:val="00D32DF0"/>
    <w:rsid w:val="00D33CAF"/>
    <w:rsid w:val="00D36DDE"/>
    <w:rsid w:val="00D36F0C"/>
    <w:rsid w:val="00D379E3"/>
    <w:rsid w:val="00D37D25"/>
    <w:rsid w:val="00D422D6"/>
    <w:rsid w:val="00D425EC"/>
    <w:rsid w:val="00D42F0B"/>
    <w:rsid w:val="00D437C9"/>
    <w:rsid w:val="00D4412B"/>
    <w:rsid w:val="00D44824"/>
    <w:rsid w:val="00D46A3E"/>
    <w:rsid w:val="00D52AED"/>
    <w:rsid w:val="00D54CF1"/>
    <w:rsid w:val="00D565BA"/>
    <w:rsid w:val="00D56B74"/>
    <w:rsid w:val="00D60205"/>
    <w:rsid w:val="00D624FD"/>
    <w:rsid w:val="00D65345"/>
    <w:rsid w:val="00D66179"/>
    <w:rsid w:val="00D71BD2"/>
    <w:rsid w:val="00D727B6"/>
    <w:rsid w:val="00D72B7C"/>
    <w:rsid w:val="00D73875"/>
    <w:rsid w:val="00D75B39"/>
    <w:rsid w:val="00D82AE3"/>
    <w:rsid w:val="00D82E0D"/>
    <w:rsid w:val="00D83499"/>
    <w:rsid w:val="00D839E6"/>
    <w:rsid w:val="00D84452"/>
    <w:rsid w:val="00D84774"/>
    <w:rsid w:val="00D8629F"/>
    <w:rsid w:val="00D9019C"/>
    <w:rsid w:val="00D90E0E"/>
    <w:rsid w:val="00D922F9"/>
    <w:rsid w:val="00D92E9A"/>
    <w:rsid w:val="00D96CD1"/>
    <w:rsid w:val="00DA372D"/>
    <w:rsid w:val="00DA3EF2"/>
    <w:rsid w:val="00DA5AD1"/>
    <w:rsid w:val="00DA5C57"/>
    <w:rsid w:val="00DA6CBD"/>
    <w:rsid w:val="00DA7834"/>
    <w:rsid w:val="00DB12CE"/>
    <w:rsid w:val="00DB1421"/>
    <w:rsid w:val="00DB1E14"/>
    <w:rsid w:val="00DB405B"/>
    <w:rsid w:val="00DB42E3"/>
    <w:rsid w:val="00DB451E"/>
    <w:rsid w:val="00DB4767"/>
    <w:rsid w:val="00DB58F3"/>
    <w:rsid w:val="00DB5956"/>
    <w:rsid w:val="00DB6DBB"/>
    <w:rsid w:val="00DB7180"/>
    <w:rsid w:val="00DC1791"/>
    <w:rsid w:val="00DC51D0"/>
    <w:rsid w:val="00DC51FB"/>
    <w:rsid w:val="00DC7CD2"/>
    <w:rsid w:val="00DD000A"/>
    <w:rsid w:val="00DD03C1"/>
    <w:rsid w:val="00DD0F88"/>
    <w:rsid w:val="00DD1285"/>
    <w:rsid w:val="00DD1E17"/>
    <w:rsid w:val="00DD4C12"/>
    <w:rsid w:val="00DD6A51"/>
    <w:rsid w:val="00DD6E62"/>
    <w:rsid w:val="00DD7A32"/>
    <w:rsid w:val="00DD7FDD"/>
    <w:rsid w:val="00DE267D"/>
    <w:rsid w:val="00DE2C3D"/>
    <w:rsid w:val="00DE5E0A"/>
    <w:rsid w:val="00DF0666"/>
    <w:rsid w:val="00DF1971"/>
    <w:rsid w:val="00DF27A9"/>
    <w:rsid w:val="00DF3B69"/>
    <w:rsid w:val="00DF5190"/>
    <w:rsid w:val="00DF6B6E"/>
    <w:rsid w:val="00DF6E52"/>
    <w:rsid w:val="00DF6FD8"/>
    <w:rsid w:val="00E013B4"/>
    <w:rsid w:val="00E04E2A"/>
    <w:rsid w:val="00E0533B"/>
    <w:rsid w:val="00E07250"/>
    <w:rsid w:val="00E073E6"/>
    <w:rsid w:val="00E07E9D"/>
    <w:rsid w:val="00E1054A"/>
    <w:rsid w:val="00E127C3"/>
    <w:rsid w:val="00E12A0F"/>
    <w:rsid w:val="00E1512D"/>
    <w:rsid w:val="00E15C54"/>
    <w:rsid w:val="00E17868"/>
    <w:rsid w:val="00E200E2"/>
    <w:rsid w:val="00E21F83"/>
    <w:rsid w:val="00E22257"/>
    <w:rsid w:val="00E23AC2"/>
    <w:rsid w:val="00E24E05"/>
    <w:rsid w:val="00E2671E"/>
    <w:rsid w:val="00E26CDE"/>
    <w:rsid w:val="00E26F58"/>
    <w:rsid w:val="00E272B9"/>
    <w:rsid w:val="00E27514"/>
    <w:rsid w:val="00E31D9A"/>
    <w:rsid w:val="00E346A1"/>
    <w:rsid w:val="00E34BCD"/>
    <w:rsid w:val="00E35B8F"/>
    <w:rsid w:val="00E374EC"/>
    <w:rsid w:val="00E37EF1"/>
    <w:rsid w:val="00E41424"/>
    <w:rsid w:val="00E42D76"/>
    <w:rsid w:val="00E441A4"/>
    <w:rsid w:val="00E53309"/>
    <w:rsid w:val="00E54F18"/>
    <w:rsid w:val="00E56476"/>
    <w:rsid w:val="00E56BD1"/>
    <w:rsid w:val="00E578AD"/>
    <w:rsid w:val="00E603AB"/>
    <w:rsid w:val="00E62175"/>
    <w:rsid w:val="00E62449"/>
    <w:rsid w:val="00E62DC6"/>
    <w:rsid w:val="00E63862"/>
    <w:rsid w:val="00E661C8"/>
    <w:rsid w:val="00E66621"/>
    <w:rsid w:val="00E672C7"/>
    <w:rsid w:val="00E673A5"/>
    <w:rsid w:val="00E70BC0"/>
    <w:rsid w:val="00E71212"/>
    <w:rsid w:val="00E7264B"/>
    <w:rsid w:val="00E747FD"/>
    <w:rsid w:val="00E74E85"/>
    <w:rsid w:val="00E75903"/>
    <w:rsid w:val="00E76615"/>
    <w:rsid w:val="00E77655"/>
    <w:rsid w:val="00E83EC4"/>
    <w:rsid w:val="00E84923"/>
    <w:rsid w:val="00E86CBC"/>
    <w:rsid w:val="00E938CB"/>
    <w:rsid w:val="00E9459C"/>
    <w:rsid w:val="00E95D9F"/>
    <w:rsid w:val="00E96491"/>
    <w:rsid w:val="00E96ACA"/>
    <w:rsid w:val="00E971B2"/>
    <w:rsid w:val="00EA2E24"/>
    <w:rsid w:val="00EA3A8C"/>
    <w:rsid w:val="00EA6048"/>
    <w:rsid w:val="00EB0240"/>
    <w:rsid w:val="00EB0BD4"/>
    <w:rsid w:val="00EB2787"/>
    <w:rsid w:val="00EC29EE"/>
    <w:rsid w:val="00EC390F"/>
    <w:rsid w:val="00EC398D"/>
    <w:rsid w:val="00EC542A"/>
    <w:rsid w:val="00EC5FD2"/>
    <w:rsid w:val="00EC689A"/>
    <w:rsid w:val="00EC6C85"/>
    <w:rsid w:val="00EC6CE5"/>
    <w:rsid w:val="00EC6EBD"/>
    <w:rsid w:val="00ED4496"/>
    <w:rsid w:val="00EE0937"/>
    <w:rsid w:val="00EE1F5C"/>
    <w:rsid w:val="00EE30E5"/>
    <w:rsid w:val="00EE398D"/>
    <w:rsid w:val="00EE624E"/>
    <w:rsid w:val="00EF041F"/>
    <w:rsid w:val="00EF07EF"/>
    <w:rsid w:val="00EF1B95"/>
    <w:rsid w:val="00EF4F2A"/>
    <w:rsid w:val="00F01657"/>
    <w:rsid w:val="00F0403B"/>
    <w:rsid w:val="00F0557A"/>
    <w:rsid w:val="00F10BA5"/>
    <w:rsid w:val="00F1212A"/>
    <w:rsid w:val="00F12960"/>
    <w:rsid w:val="00F15F35"/>
    <w:rsid w:val="00F1694B"/>
    <w:rsid w:val="00F20FCE"/>
    <w:rsid w:val="00F2250F"/>
    <w:rsid w:val="00F23EB1"/>
    <w:rsid w:val="00F243D4"/>
    <w:rsid w:val="00F25085"/>
    <w:rsid w:val="00F31196"/>
    <w:rsid w:val="00F332F5"/>
    <w:rsid w:val="00F352EF"/>
    <w:rsid w:val="00F356A5"/>
    <w:rsid w:val="00F3738E"/>
    <w:rsid w:val="00F40AF9"/>
    <w:rsid w:val="00F4314E"/>
    <w:rsid w:val="00F45B10"/>
    <w:rsid w:val="00F50247"/>
    <w:rsid w:val="00F52EE3"/>
    <w:rsid w:val="00F537A0"/>
    <w:rsid w:val="00F5398B"/>
    <w:rsid w:val="00F53C09"/>
    <w:rsid w:val="00F55B97"/>
    <w:rsid w:val="00F574B2"/>
    <w:rsid w:val="00F57C56"/>
    <w:rsid w:val="00F611B7"/>
    <w:rsid w:val="00F61737"/>
    <w:rsid w:val="00F65666"/>
    <w:rsid w:val="00F66761"/>
    <w:rsid w:val="00F67BF5"/>
    <w:rsid w:val="00F67EED"/>
    <w:rsid w:val="00F71E96"/>
    <w:rsid w:val="00F72D23"/>
    <w:rsid w:val="00F7316C"/>
    <w:rsid w:val="00F737C6"/>
    <w:rsid w:val="00F76DBD"/>
    <w:rsid w:val="00F7774A"/>
    <w:rsid w:val="00F846AC"/>
    <w:rsid w:val="00F84CE0"/>
    <w:rsid w:val="00F84E50"/>
    <w:rsid w:val="00F86017"/>
    <w:rsid w:val="00F86DFC"/>
    <w:rsid w:val="00F90DDB"/>
    <w:rsid w:val="00F928A0"/>
    <w:rsid w:val="00F931C4"/>
    <w:rsid w:val="00F932D6"/>
    <w:rsid w:val="00F96694"/>
    <w:rsid w:val="00F96B21"/>
    <w:rsid w:val="00F97A9C"/>
    <w:rsid w:val="00FA009F"/>
    <w:rsid w:val="00FA0EE0"/>
    <w:rsid w:val="00FA1767"/>
    <w:rsid w:val="00FA1E5E"/>
    <w:rsid w:val="00FA314C"/>
    <w:rsid w:val="00FA453A"/>
    <w:rsid w:val="00FA5640"/>
    <w:rsid w:val="00FA7B17"/>
    <w:rsid w:val="00FA7C8B"/>
    <w:rsid w:val="00FB019D"/>
    <w:rsid w:val="00FB369A"/>
    <w:rsid w:val="00FB3804"/>
    <w:rsid w:val="00FB3830"/>
    <w:rsid w:val="00FB58A6"/>
    <w:rsid w:val="00FC072F"/>
    <w:rsid w:val="00FC2501"/>
    <w:rsid w:val="00FC3920"/>
    <w:rsid w:val="00FC4369"/>
    <w:rsid w:val="00FC4852"/>
    <w:rsid w:val="00FC637D"/>
    <w:rsid w:val="00FD1B75"/>
    <w:rsid w:val="00FD4900"/>
    <w:rsid w:val="00FD5114"/>
    <w:rsid w:val="00FD6D26"/>
    <w:rsid w:val="00FE1C02"/>
    <w:rsid w:val="00FE356A"/>
    <w:rsid w:val="00FE4E54"/>
    <w:rsid w:val="00FE5142"/>
    <w:rsid w:val="00FE57BB"/>
    <w:rsid w:val="00FE5C35"/>
    <w:rsid w:val="00FE5D48"/>
    <w:rsid w:val="00FE6A36"/>
    <w:rsid w:val="00FE6DE7"/>
    <w:rsid w:val="00FE6EC7"/>
    <w:rsid w:val="00FF54FB"/>
    <w:rsid w:val="00FF6DA6"/>
    <w:rsid w:val="12D474C6"/>
    <w:rsid w:val="13B10247"/>
    <w:rsid w:val="1DDFA8D8"/>
    <w:rsid w:val="32AC1E2B"/>
    <w:rsid w:val="32E76E86"/>
    <w:rsid w:val="33C4CB8E"/>
    <w:rsid w:val="3FF937CE"/>
    <w:rsid w:val="56AA0141"/>
    <w:rsid w:val="60B785DB"/>
    <w:rsid w:val="75AB651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d9da"/>
    </o:shapedefaults>
    <o:shapelayout v:ext="edit">
      <o:idmap v:ext="edit" data="2"/>
    </o:shapelayout>
  </w:shapeDefaults>
  <w:decimalSymbol w:val=","/>
  <w:listSeparator w:val=","/>
  <w14:docId w14:val="53EADBCB"/>
  <w15:chartTrackingRefBased/>
  <w15:docId w15:val="{BA656CBB-CD44-4FDA-B108-9DFCA456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C4"/>
    <w:pPr>
      <w:spacing w:line="260" w:lineRule="atLeast"/>
    </w:pPr>
    <w:rPr>
      <w:rFonts w:ascii="Trebuchet MS" w:hAnsi="Trebuchet MS"/>
      <w:sz w:val="20"/>
    </w:rPr>
  </w:style>
  <w:style w:type="paragraph" w:styleId="Titre1">
    <w:name w:val="heading 1"/>
    <w:basedOn w:val="Normal"/>
    <w:next w:val="Normal"/>
    <w:link w:val="Titre1Car"/>
    <w:uiPriority w:val="9"/>
    <w:qFormat/>
    <w:rsid w:val="004F5D05"/>
    <w:pPr>
      <w:keepNext/>
      <w:keepLines/>
      <w:numPr>
        <w:numId w:val="5"/>
      </w:numPr>
      <w:spacing w:before="240" w:after="0"/>
      <w:ind w:left="431" w:hanging="431"/>
      <w:outlineLvl w:val="0"/>
    </w:pPr>
    <w:rPr>
      <w:rFonts w:eastAsiaTheme="majorEastAsia" w:cstheme="majorBidi"/>
      <w:color w:val="D90030"/>
      <w:sz w:val="40"/>
      <w:szCs w:val="32"/>
    </w:rPr>
  </w:style>
  <w:style w:type="paragraph" w:styleId="Titre2">
    <w:name w:val="heading 2"/>
    <w:basedOn w:val="Titre1"/>
    <w:next w:val="Normal"/>
    <w:link w:val="Titre2Car"/>
    <w:uiPriority w:val="9"/>
    <w:unhideWhenUsed/>
    <w:qFormat/>
    <w:rsid w:val="004F5D05"/>
    <w:pPr>
      <w:numPr>
        <w:ilvl w:val="1"/>
      </w:numPr>
      <w:spacing w:before="120" w:after="120"/>
      <w:ind w:left="578" w:hanging="578"/>
      <w:outlineLvl w:val="1"/>
    </w:pPr>
    <w:rPr>
      <w:rFonts w:asciiTheme="majorHAnsi" w:hAnsiTheme="majorHAnsi"/>
      <w:sz w:val="32"/>
      <w:szCs w:val="26"/>
    </w:rPr>
  </w:style>
  <w:style w:type="paragraph" w:styleId="Titre3">
    <w:name w:val="heading 3"/>
    <w:basedOn w:val="Titre2"/>
    <w:next w:val="Normal"/>
    <w:link w:val="Titre3Car"/>
    <w:uiPriority w:val="9"/>
    <w:unhideWhenUsed/>
    <w:qFormat/>
    <w:rsid w:val="001A33AD"/>
    <w:pPr>
      <w:numPr>
        <w:ilvl w:val="2"/>
      </w:numPr>
      <w:outlineLvl w:val="2"/>
    </w:pPr>
    <w:rPr>
      <w:rFonts w:ascii="Trebuchet MS" w:hAnsi="Trebuchet MS"/>
      <w:sz w:val="24"/>
      <w:szCs w:val="24"/>
    </w:rPr>
  </w:style>
  <w:style w:type="paragraph" w:styleId="Titre4">
    <w:name w:val="heading 4"/>
    <w:basedOn w:val="Normal"/>
    <w:next w:val="Normal"/>
    <w:link w:val="Titre4Car"/>
    <w:uiPriority w:val="9"/>
    <w:semiHidden/>
    <w:unhideWhenUsed/>
    <w:rsid w:val="004F5D05"/>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F5D05"/>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F5D05"/>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F5D05"/>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F5D0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F5D0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5D05"/>
    <w:rPr>
      <w:rFonts w:ascii="Trebuchet MS" w:eastAsiaTheme="majorEastAsia" w:hAnsi="Trebuchet MS" w:cstheme="majorBidi"/>
      <w:color w:val="D90030"/>
      <w:sz w:val="40"/>
      <w:szCs w:val="32"/>
    </w:rPr>
  </w:style>
  <w:style w:type="paragraph" w:styleId="TM1">
    <w:name w:val="toc 1"/>
    <w:basedOn w:val="Normal"/>
    <w:next w:val="Normal"/>
    <w:autoRedefine/>
    <w:uiPriority w:val="39"/>
    <w:unhideWhenUsed/>
    <w:rsid w:val="00A83D71"/>
    <w:pPr>
      <w:tabs>
        <w:tab w:val="left" w:pos="400"/>
        <w:tab w:val="right" w:leader="dot" w:pos="9350"/>
      </w:tabs>
      <w:spacing w:after="100"/>
    </w:pPr>
    <w:rPr>
      <w:noProof/>
      <w:color w:val="D90030"/>
      <w:sz w:val="24"/>
      <w:szCs w:val="28"/>
    </w:rPr>
  </w:style>
  <w:style w:type="paragraph" w:styleId="En-ttedetabledesmatires">
    <w:name w:val="TOC Heading"/>
    <w:basedOn w:val="Titre1"/>
    <w:next w:val="Normal"/>
    <w:uiPriority w:val="39"/>
    <w:unhideWhenUsed/>
    <w:rsid w:val="006324E9"/>
    <w:pPr>
      <w:outlineLvl w:val="9"/>
    </w:pPr>
    <w:rPr>
      <w:lang w:eastAsia="nl-BE"/>
    </w:rPr>
  </w:style>
  <w:style w:type="paragraph" w:styleId="En-tte">
    <w:name w:val="header"/>
    <w:basedOn w:val="Normal"/>
    <w:link w:val="En-tteCar"/>
    <w:uiPriority w:val="99"/>
    <w:unhideWhenUsed/>
    <w:rsid w:val="006324E9"/>
    <w:pPr>
      <w:tabs>
        <w:tab w:val="center" w:pos="4680"/>
        <w:tab w:val="right" w:pos="9360"/>
      </w:tabs>
      <w:spacing w:after="0" w:line="240" w:lineRule="auto"/>
    </w:pPr>
  </w:style>
  <w:style w:type="character" w:customStyle="1" w:styleId="En-tteCar">
    <w:name w:val="En-tête Car"/>
    <w:basedOn w:val="Policepardfaut"/>
    <w:link w:val="En-tte"/>
    <w:uiPriority w:val="99"/>
    <w:rsid w:val="006324E9"/>
  </w:style>
  <w:style w:type="paragraph" w:styleId="Pieddepage">
    <w:name w:val="footer"/>
    <w:basedOn w:val="Normal"/>
    <w:link w:val="PieddepageCar"/>
    <w:uiPriority w:val="99"/>
    <w:unhideWhenUsed/>
    <w:rsid w:val="006324E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324E9"/>
  </w:style>
  <w:style w:type="character" w:customStyle="1" w:styleId="Titre2Car">
    <w:name w:val="Titre 2 Car"/>
    <w:basedOn w:val="Policepardfaut"/>
    <w:link w:val="Titre2"/>
    <w:uiPriority w:val="9"/>
    <w:rsid w:val="004F5D05"/>
    <w:rPr>
      <w:rFonts w:asciiTheme="majorHAnsi" w:eastAsiaTheme="majorEastAsia" w:hAnsiTheme="majorHAnsi" w:cstheme="majorBidi"/>
      <w:color w:val="D90030"/>
      <w:sz w:val="32"/>
      <w:szCs w:val="26"/>
    </w:rPr>
  </w:style>
  <w:style w:type="paragraph" w:styleId="TM2">
    <w:name w:val="toc 2"/>
    <w:basedOn w:val="Normal"/>
    <w:next w:val="Normal"/>
    <w:autoRedefine/>
    <w:uiPriority w:val="39"/>
    <w:unhideWhenUsed/>
    <w:rsid w:val="002C0924"/>
    <w:pPr>
      <w:spacing w:after="100"/>
      <w:ind w:left="220"/>
    </w:pPr>
  </w:style>
  <w:style w:type="character" w:styleId="Lienhypertexte">
    <w:name w:val="Hyperlink"/>
    <w:basedOn w:val="Policepardfaut"/>
    <w:uiPriority w:val="99"/>
    <w:unhideWhenUsed/>
    <w:rsid w:val="002C0924"/>
    <w:rPr>
      <w:color w:val="0563C1" w:themeColor="hyperlink"/>
      <w:u w:val="single"/>
    </w:rPr>
  </w:style>
  <w:style w:type="paragraph" w:styleId="Sansinterligne">
    <w:name w:val="No Spacing"/>
    <w:uiPriority w:val="1"/>
    <w:rsid w:val="0030389C"/>
    <w:pPr>
      <w:spacing w:after="0" w:line="240" w:lineRule="auto"/>
    </w:pPr>
    <w:rPr>
      <w:rFonts w:ascii="Trebuchet MS" w:hAnsi="Trebuchet MS"/>
    </w:rPr>
  </w:style>
  <w:style w:type="character" w:customStyle="1" w:styleId="Titre3Car">
    <w:name w:val="Titre 3 Car"/>
    <w:basedOn w:val="Policepardfaut"/>
    <w:link w:val="Titre3"/>
    <w:uiPriority w:val="9"/>
    <w:rsid w:val="001A33AD"/>
    <w:rPr>
      <w:rFonts w:ascii="Trebuchet MS" w:eastAsiaTheme="majorEastAsia" w:hAnsi="Trebuchet MS" w:cstheme="majorBidi"/>
      <w:color w:val="D90030"/>
      <w:sz w:val="24"/>
      <w:szCs w:val="24"/>
    </w:rPr>
  </w:style>
  <w:style w:type="table" w:styleId="Grilledutableau">
    <w:name w:val="Table Grid"/>
    <w:basedOn w:val="TableauNormal"/>
    <w:uiPriority w:val="39"/>
    <w:rsid w:val="001A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906040"/>
    <w:pPr>
      <w:spacing w:after="100"/>
      <w:ind w:left="400"/>
    </w:pPr>
  </w:style>
  <w:style w:type="character" w:customStyle="1" w:styleId="Titre4Car">
    <w:name w:val="Titre 4 Car"/>
    <w:basedOn w:val="Policepardfaut"/>
    <w:link w:val="Titre4"/>
    <w:uiPriority w:val="9"/>
    <w:semiHidden/>
    <w:rsid w:val="004F5D05"/>
    <w:rPr>
      <w:rFonts w:asciiTheme="majorHAnsi" w:eastAsiaTheme="majorEastAsia" w:hAnsiTheme="majorHAnsi" w:cstheme="majorBidi"/>
      <w:i/>
      <w:iCs/>
      <w:color w:val="2F5496" w:themeColor="accent1" w:themeShade="BF"/>
      <w:sz w:val="20"/>
    </w:rPr>
  </w:style>
  <w:style w:type="character" w:customStyle="1" w:styleId="Titre5Car">
    <w:name w:val="Titre 5 Car"/>
    <w:basedOn w:val="Policepardfaut"/>
    <w:link w:val="Titre5"/>
    <w:uiPriority w:val="9"/>
    <w:semiHidden/>
    <w:rsid w:val="004F5D05"/>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semiHidden/>
    <w:rsid w:val="004F5D05"/>
    <w:rPr>
      <w:rFonts w:asciiTheme="majorHAnsi" w:eastAsiaTheme="majorEastAsia" w:hAnsiTheme="majorHAnsi" w:cstheme="majorBidi"/>
      <w:color w:val="1F3763" w:themeColor="accent1" w:themeShade="7F"/>
      <w:sz w:val="20"/>
    </w:rPr>
  </w:style>
  <w:style w:type="character" w:customStyle="1" w:styleId="Titre7Car">
    <w:name w:val="Titre 7 Car"/>
    <w:basedOn w:val="Policepardfaut"/>
    <w:link w:val="Titre7"/>
    <w:uiPriority w:val="9"/>
    <w:semiHidden/>
    <w:rsid w:val="004F5D05"/>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4F5D0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F5D05"/>
    <w:rPr>
      <w:rFonts w:asciiTheme="majorHAnsi" w:eastAsiaTheme="majorEastAsia" w:hAnsiTheme="majorHAnsi" w:cstheme="majorBidi"/>
      <w:i/>
      <w:iCs/>
      <w:color w:val="272727" w:themeColor="text1" w:themeTint="D8"/>
      <w:sz w:val="21"/>
      <w:szCs w:val="21"/>
    </w:rPr>
  </w:style>
  <w:style w:type="character" w:customStyle="1" w:styleId="Onopgelostemelding1">
    <w:name w:val="Onopgeloste melding1"/>
    <w:basedOn w:val="Policepardfaut"/>
    <w:uiPriority w:val="99"/>
    <w:semiHidden/>
    <w:unhideWhenUsed/>
    <w:rsid w:val="00DF6E52"/>
    <w:rPr>
      <w:color w:val="605E5C"/>
      <w:shd w:val="clear" w:color="auto" w:fill="E1DFDD"/>
    </w:rPr>
  </w:style>
  <w:style w:type="paragraph" w:styleId="Titre">
    <w:name w:val="Title"/>
    <w:basedOn w:val="Normal"/>
    <w:next w:val="Normal"/>
    <w:link w:val="TitreCar"/>
    <w:uiPriority w:val="10"/>
    <w:qFormat/>
    <w:rsid w:val="00D84774"/>
    <w:pPr>
      <w:spacing w:after="0" w:line="240" w:lineRule="auto"/>
      <w:contextualSpacing/>
    </w:pPr>
    <w:rPr>
      <w:rFonts w:eastAsiaTheme="majorEastAsia" w:cstheme="majorBidi"/>
      <w:b/>
      <w:color w:val="FFFFFF" w:themeColor="background1"/>
      <w:spacing w:val="-10"/>
      <w:kern w:val="28"/>
      <w:sz w:val="44"/>
      <w:szCs w:val="56"/>
    </w:rPr>
  </w:style>
  <w:style w:type="character" w:customStyle="1" w:styleId="TitreCar">
    <w:name w:val="Titre Car"/>
    <w:basedOn w:val="Policepardfaut"/>
    <w:link w:val="Titre"/>
    <w:uiPriority w:val="10"/>
    <w:rsid w:val="00D84774"/>
    <w:rPr>
      <w:rFonts w:ascii="Trebuchet MS" w:eastAsiaTheme="majorEastAsia" w:hAnsi="Trebuchet MS" w:cstheme="majorBidi"/>
      <w:b/>
      <w:color w:val="FFFFFF" w:themeColor="background1"/>
      <w:spacing w:val="-10"/>
      <w:kern w:val="28"/>
      <w:sz w:val="44"/>
      <w:szCs w:val="56"/>
    </w:rPr>
  </w:style>
  <w:style w:type="character" w:styleId="Accentuationlgre">
    <w:name w:val="Subtle Emphasis"/>
    <w:basedOn w:val="Policepardfaut"/>
    <w:uiPriority w:val="19"/>
    <w:rsid w:val="00D84774"/>
    <w:rPr>
      <w:i/>
      <w:iCs/>
      <w:color w:val="404040" w:themeColor="text1" w:themeTint="BF"/>
    </w:rPr>
  </w:style>
  <w:style w:type="paragraph" w:styleId="Sous-titre">
    <w:name w:val="Subtitle"/>
    <w:basedOn w:val="Normal"/>
    <w:next w:val="Normal"/>
    <w:link w:val="Sous-titreCar"/>
    <w:uiPriority w:val="11"/>
    <w:qFormat/>
    <w:rsid w:val="006A2B5F"/>
    <w:pPr>
      <w:numPr>
        <w:ilvl w:val="1"/>
      </w:numPr>
    </w:pPr>
    <w:rPr>
      <w:rFonts w:eastAsiaTheme="minorEastAsia"/>
      <w:b/>
      <w:color w:val="D90030"/>
      <w:spacing w:val="15"/>
      <w:sz w:val="32"/>
    </w:rPr>
  </w:style>
  <w:style w:type="character" w:customStyle="1" w:styleId="Sous-titreCar">
    <w:name w:val="Sous-titre Car"/>
    <w:basedOn w:val="Policepardfaut"/>
    <w:link w:val="Sous-titre"/>
    <w:uiPriority w:val="11"/>
    <w:rsid w:val="006A2B5F"/>
    <w:rPr>
      <w:rFonts w:ascii="Trebuchet MS" w:eastAsiaTheme="minorEastAsia" w:hAnsi="Trebuchet MS"/>
      <w:b/>
      <w:color w:val="D90030"/>
      <w:spacing w:val="15"/>
      <w:sz w:val="32"/>
    </w:rPr>
  </w:style>
  <w:style w:type="paragraph" w:styleId="Paragraphedeliste">
    <w:name w:val="List Paragraph"/>
    <w:basedOn w:val="Normal"/>
    <w:uiPriority w:val="34"/>
    <w:qFormat/>
    <w:rsid w:val="005C47FC"/>
    <w:pPr>
      <w:numPr>
        <w:numId w:val="7"/>
      </w:numPr>
      <w:ind w:left="1066" w:hanging="357"/>
      <w:contextualSpacing/>
    </w:pPr>
  </w:style>
  <w:style w:type="character" w:styleId="lev">
    <w:name w:val="Strong"/>
    <w:basedOn w:val="Policepardfaut"/>
    <w:uiPriority w:val="22"/>
    <w:qFormat/>
    <w:rsid w:val="00AF5BA2"/>
    <w:rPr>
      <w:rFonts w:ascii="Trebuchet MS" w:hAnsi="Trebuchet MS"/>
      <w:b/>
      <w:bCs/>
      <w:sz w:val="20"/>
    </w:rPr>
  </w:style>
  <w:style w:type="character" w:styleId="Accentuation">
    <w:name w:val="Emphasis"/>
    <w:basedOn w:val="Policepardfaut"/>
    <w:uiPriority w:val="20"/>
    <w:qFormat/>
    <w:rsid w:val="00B44B66"/>
    <w:rPr>
      <w:i/>
      <w:iCs/>
    </w:rPr>
  </w:style>
  <w:style w:type="character" w:styleId="Lienhypertextesuivivisit">
    <w:name w:val="FollowedHyperlink"/>
    <w:basedOn w:val="Policepardfaut"/>
    <w:uiPriority w:val="99"/>
    <w:semiHidden/>
    <w:unhideWhenUsed/>
    <w:rsid w:val="006A2B5F"/>
    <w:rPr>
      <w:color w:val="954F72" w:themeColor="followedHyperlink"/>
      <w:u w:val="single"/>
    </w:rPr>
  </w:style>
  <w:style w:type="character" w:styleId="Marquedecommentaire">
    <w:name w:val="annotation reference"/>
    <w:basedOn w:val="Policepardfaut"/>
    <w:uiPriority w:val="99"/>
    <w:semiHidden/>
    <w:unhideWhenUsed/>
    <w:rsid w:val="00C35FC8"/>
    <w:rPr>
      <w:sz w:val="16"/>
      <w:szCs w:val="16"/>
    </w:rPr>
  </w:style>
  <w:style w:type="paragraph" w:styleId="Commentaire">
    <w:name w:val="annotation text"/>
    <w:basedOn w:val="Normal"/>
    <w:link w:val="CommentaireCar"/>
    <w:uiPriority w:val="99"/>
    <w:unhideWhenUsed/>
    <w:rsid w:val="00C35FC8"/>
    <w:pPr>
      <w:spacing w:line="240" w:lineRule="auto"/>
    </w:pPr>
    <w:rPr>
      <w:szCs w:val="20"/>
    </w:rPr>
  </w:style>
  <w:style w:type="character" w:customStyle="1" w:styleId="CommentaireCar">
    <w:name w:val="Commentaire Car"/>
    <w:basedOn w:val="Policepardfaut"/>
    <w:link w:val="Commentaire"/>
    <w:uiPriority w:val="99"/>
    <w:rsid w:val="00C35FC8"/>
    <w:rPr>
      <w:rFonts w:ascii="Trebuchet MS" w:hAnsi="Trebuchet MS"/>
      <w:sz w:val="20"/>
      <w:szCs w:val="20"/>
    </w:rPr>
  </w:style>
  <w:style w:type="paragraph" w:styleId="Objetducommentaire">
    <w:name w:val="annotation subject"/>
    <w:basedOn w:val="Commentaire"/>
    <w:next w:val="Commentaire"/>
    <w:link w:val="ObjetducommentaireCar"/>
    <w:uiPriority w:val="99"/>
    <w:semiHidden/>
    <w:unhideWhenUsed/>
    <w:rsid w:val="00C35FC8"/>
    <w:rPr>
      <w:b/>
      <w:bCs/>
    </w:rPr>
  </w:style>
  <w:style w:type="character" w:customStyle="1" w:styleId="ObjetducommentaireCar">
    <w:name w:val="Objet du commentaire Car"/>
    <w:basedOn w:val="CommentaireCar"/>
    <w:link w:val="Objetducommentaire"/>
    <w:uiPriority w:val="99"/>
    <w:semiHidden/>
    <w:rsid w:val="00C35FC8"/>
    <w:rPr>
      <w:rFonts w:ascii="Trebuchet MS" w:hAnsi="Trebuchet MS"/>
      <w:b/>
      <w:bCs/>
      <w:sz w:val="20"/>
      <w:szCs w:val="20"/>
    </w:rPr>
  </w:style>
  <w:style w:type="table" w:customStyle="1" w:styleId="Solidaris">
    <w:name w:val="Solidaris"/>
    <w:basedOn w:val="Tableauliste4"/>
    <w:uiPriority w:val="99"/>
    <w:rsid w:val="00422D98"/>
    <w:pPr>
      <w:spacing w:after="0" w:line="240" w:lineRule="auto"/>
      <w:jc w:val="center"/>
    </w:pPr>
    <w:rPr>
      <w:rFonts w:ascii="Trebuchet MS" w:hAnsi="Trebuchet MS"/>
      <w:sz w:val="20"/>
      <w:szCs w:val="20"/>
      <w:lang w:val="fr-BE" w:eastAsia="fr-BE"/>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single" w:sz="4" w:space="0" w:color="D90030"/>
      </w:tblBorders>
    </w:tblPr>
    <w:tcPr>
      <w:shd w:val="clear" w:color="auto" w:fill="auto"/>
      <w:vAlign w:val="center"/>
    </w:tcPr>
    <w:tblStylePr w:type="firstRow">
      <w:pPr>
        <w:wordWrap/>
        <w:spacing w:beforeLines="0" w:before="60" w:beforeAutospacing="0" w:afterLines="0" w:after="60" w:afterAutospacing="0"/>
      </w:pPr>
      <w:rPr>
        <w:rFonts w:ascii="Trebuchet MS" w:hAnsi="Trebuchet MS"/>
        <w:b/>
        <w:bCs/>
        <w:i w:val="0"/>
        <w:color w:val="FFFFFF"/>
        <w:sz w:val="20"/>
      </w:rPr>
      <w:tblPr/>
      <w:tcPr>
        <w:tcBorders>
          <w:top w:val="nil"/>
          <w:left w:val="nil"/>
          <w:bottom w:val="nil"/>
          <w:right w:val="nil"/>
          <w:insideH w:val="nil"/>
          <w:insideV w:val="single" w:sz="4" w:space="0" w:color="FFFFFF" w:themeColor="background1"/>
          <w:tl2br w:val="nil"/>
          <w:tr2bl w:val="nil"/>
        </w:tcBorders>
        <w:shd w:val="solid" w:color="D90030" w:fill="FFFFFF"/>
      </w:tcPr>
    </w:tblStylePr>
    <w:tblStylePr w:type="lastRow">
      <w:tblPr/>
      <w:tcPr>
        <w:tcBorders>
          <w:top w:val="nil"/>
          <w:left w:val="nil"/>
          <w:bottom w:val="nil"/>
          <w:right w:val="nil"/>
          <w:insideH w:val="nil"/>
          <w:insideV w:val="nil"/>
          <w:tl2br w:val="nil"/>
          <w:tr2bl w:val="nil"/>
        </w:tcBorders>
        <w:shd w:val="clear" w:color="auto" w:fill="D90030"/>
      </w:tcPr>
    </w:tblStylePr>
    <w:tblStylePr w:type="band1Horz">
      <w:tblPr/>
      <w:tcPr>
        <w:tcBorders>
          <w:top w:val="nil"/>
          <w:left w:val="nil"/>
          <w:bottom w:val="nil"/>
          <w:right w:val="nil"/>
          <w:insideH w:val="nil"/>
          <w:insideV w:val="single" w:sz="4" w:space="0" w:color="D90030"/>
          <w:tl2br w:val="nil"/>
          <w:tr2bl w:val="nil"/>
        </w:tcBorders>
        <w:shd w:val="clear" w:color="auto" w:fill="F2D9DA"/>
      </w:tcPr>
    </w:tblStylePr>
  </w:style>
  <w:style w:type="table" w:styleId="Tableauliste4">
    <w:name w:val="Table List 4"/>
    <w:basedOn w:val="TableauNormal"/>
    <w:uiPriority w:val="99"/>
    <w:semiHidden/>
    <w:unhideWhenUsed/>
    <w:rsid w:val="00422D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Notedebasdepage">
    <w:name w:val="footnote text"/>
    <w:basedOn w:val="Normal"/>
    <w:link w:val="NotedebasdepageCar"/>
    <w:uiPriority w:val="99"/>
    <w:unhideWhenUsed/>
    <w:rsid w:val="000978CC"/>
    <w:pPr>
      <w:spacing w:after="0" w:line="240" w:lineRule="auto"/>
    </w:pPr>
    <w:rPr>
      <w:szCs w:val="20"/>
    </w:rPr>
  </w:style>
  <w:style w:type="character" w:customStyle="1" w:styleId="NotedebasdepageCar">
    <w:name w:val="Note de bas de page Car"/>
    <w:basedOn w:val="Policepardfaut"/>
    <w:link w:val="Notedebasdepage"/>
    <w:uiPriority w:val="99"/>
    <w:rsid w:val="000978CC"/>
    <w:rPr>
      <w:rFonts w:ascii="Trebuchet MS" w:hAnsi="Trebuchet MS"/>
      <w:sz w:val="20"/>
      <w:szCs w:val="20"/>
    </w:rPr>
  </w:style>
  <w:style w:type="character" w:styleId="Appelnotedebasdep">
    <w:name w:val="footnote reference"/>
    <w:basedOn w:val="Policepardfaut"/>
    <w:uiPriority w:val="99"/>
    <w:unhideWhenUsed/>
    <w:rsid w:val="000978CC"/>
    <w:rPr>
      <w:vertAlign w:val="superscript"/>
    </w:rPr>
  </w:style>
  <w:style w:type="paragraph" w:styleId="Textedebulles">
    <w:name w:val="Balloon Text"/>
    <w:basedOn w:val="Normal"/>
    <w:link w:val="TextedebullesCar"/>
    <w:uiPriority w:val="99"/>
    <w:semiHidden/>
    <w:unhideWhenUsed/>
    <w:rsid w:val="009B2F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2F83"/>
    <w:rPr>
      <w:rFonts w:ascii="Segoe UI" w:hAnsi="Segoe UI" w:cs="Segoe UI"/>
      <w:sz w:val="18"/>
      <w:szCs w:val="18"/>
    </w:rPr>
  </w:style>
  <w:style w:type="paragraph" w:customStyle="1" w:styleId="Figure">
    <w:name w:val="Figure"/>
    <w:basedOn w:val="Normal"/>
    <w:qFormat/>
    <w:rsid w:val="006D0C21"/>
    <w:pPr>
      <w:spacing w:after="120"/>
      <w:jc w:val="both"/>
    </w:pPr>
    <w:rPr>
      <w:i/>
      <w:lang w:val="fr-BE"/>
    </w:rPr>
  </w:style>
  <w:style w:type="paragraph" w:customStyle="1" w:styleId="Tableau">
    <w:name w:val="Tableau"/>
    <w:basedOn w:val="Normal"/>
    <w:qFormat/>
    <w:rsid w:val="007D60F6"/>
    <w:pPr>
      <w:spacing w:after="120"/>
      <w:jc w:val="both"/>
    </w:pPr>
    <w:rPr>
      <w:i/>
      <w:lang w:val="fr-BE"/>
    </w:rPr>
  </w:style>
  <w:style w:type="paragraph" w:styleId="Tabledesillustrations">
    <w:name w:val="table of figures"/>
    <w:basedOn w:val="Normal"/>
    <w:next w:val="Normal"/>
    <w:uiPriority w:val="99"/>
    <w:unhideWhenUsed/>
    <w:rsid w:val="00A871FF"/>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kce.fgov.be/fr/publications/tous-les-rapports/lutilisation-des-medicaments-dans-les-maisons-de-repos-et-les-maisons-de-repos-et-de-soins-belg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s://corporate.solidaris-vlaanderen.be/wp-content/uploads/2022/03/Studierapport-Medicatie-laatste-levensjaar-202201.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covid-19.sciensano.be/sites/default/files/Covid19/COVID-19_Surveillance_MR_MR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ma-aim.be/IMG/pdf/rapport_aim_-_impact_de_la_crise_du_coronavirus_sur_la_consommation_de_medicaments_-_fr.pdf"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tat.link/s5ah4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press.multipharma.be/multipharma-introduit-le-pharmacien-coordinateur-et-conseiller-dans-les-maisons-de-repos-et-de-soins"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47TSM\OneDrive%20-%20MutSocMut365\Documents\Sjablonen\Template%20studierap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47tlm\OneDrive%20-%20MutSocMut365\2023\M&#233;dicaments\M&#233;dicaments%20en%20MR\Etude%202023\Donn&#233;es%20et%20analyses\tabel9_fig4_L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tab_fig!$D$16</c:f>
              <c:strCache>
                <c:ptCount val="1"/>
                <c:pt idx="0">
                  <c:v>% de la population qui arrête le traitement en maison de repos</c:v>
                </c:pt>
              </c:strCache>
            </c:strRef>
          </c:tx>
          <c:spPr>
            <a:solidFill>
              <a:srgbClr val="DA002F"/>
            </a:solidFill>
            <a:ln>
              <a:noFill/>
            </a:ln>
            <a:effectLst/>
          </c:spPr>
          <c:invertIfNegative val="0"/>
          <c:cat>
            <c:strRef>
              <c:f>tab_fig!$C$17:$C$26</c:f>
              <c:strCache>
                <c:ptCount val="10"/>
                <c:pt idx="0">
                  <c:v>Antiagrégants</c:v>
                </c:pt>
                <c:pt idx="1">
                  <c:v>Statines</c:v>
                </c:pt>
                <c:pt idx="2">
                  <c:v>Antibiotiques</c:v>
                </c:pt>
                <c:pt idx="3">
                  <c:v>Antihypertenseurs</c:v>
                </c:pt>
                <c:pt idx="4">
                  <c:v>Antidépresseurs</c:v>
                </c:pt>
                <c:pt idx="5">
                  <c:v>Inhibiteurs de la pompe à proton</c:v>
                </c:pt>
                <c:pt idx="6">
                  <c:v>Anti-inflammatoires</c:v>
                </c:pt>
                <c:pt idx="7">
                  <c:v>Antidouleurs opiacés</c:v>
                </c:pt>
                <c:pt idx="8">
                  <c:v>Antipsychotiques</c:v>
                </c:pt>
                <c:pt idx="9">
                  <c:v>Hypoglycémiants</c:v>
                </c:pt>
              </c:strCache>
            </c:strRef>
          </c:cat>
          <c:val>
            <c:numRef>
              <c:f>tab_fig!$D$17:$D$26</c:f>
              <c:numCache>
                <c:formatCode>0%</c:formatCode>
                <c:ptCount val="10"/>
                <c:pt idx="0">
                  <c:v>0.15265545769949293</c:v>
                </c:pt>
                <c:pt idx="1">
                  <c:v>0.10435014678409395</c:v>
                </c:pt>
                <c:pt idx="2">
                  <c:v>9.1539898585535101E-2</c:v>
                </c:pt>
                <c:pt idx="3">
                  <c:v>7.5793968508139839E-2</c:v>
                </c:pt>
                <c:pt idx="4">
                  <c:v>6.1382439284761142E-2</c:v>
                </c:pt>
                <c:pt idx="5">
                  <c:v>5.8713637576728046E-2</c:v>
                </c:pt>
                <c:pt idx="6">
                  <c:v>5.4977315185481719E-2</c:v>
                </c:pt>
                <c:pt idx="7">
                  <c:v>5.4710435014678406E-2</c:v>
                </c:pt>
                <c:pt idx="8">
                  <c:v>4.3234587670136111E-2</c:v>
                </c:pt>
                <c:pt idx="9">
                  <c:v>3.7896984254069919E-2</c:v>
                </c:pt>
              </c:numCache>
            </c:numRef>
          </c:val>
          <c:extLst>
            <c:ext xmlns:c16="http://schemas.microsoft.com/office/drawing/2014/chart" uri="{C3380CC4-5D6E-409C-BE32-E72D297353CC}">
              <c16:uniqueId val="{00000000-0CC5-42C3-A3F6-BC8AE0553D91}"/>
            </c:ext>
          </c:extLst>
        </c:ser>
        <c:ser>
          <c:idx val="1"/>
          <c:order val="1"/>
          <c:tx>
            <c:strRef>
              <c:f>tab_fig!$E$16</c:f>
              <c:strCache>
                <c:ptCount val="1"/>
                <c:pt idx="0">
                  <c:v>% de la population qui initie le traitement en maison de repos</c:v>
                </c:pt>
              </c:strCache>
            </c:strRef>
          </c:tx>
          <c:spPr>
            <a:solidFill>
              <a:srgbClr val="87BFB4"/>
            </a:solidFill>
            <a:ln>
              <a:noFill/>
            </a:ln>
            <a:effectLst/>
          </c:spPr>
          <c:invertIfNegative val="0"/>
          <c:cat>
            <c:strRef>
              <c:f>tab_fig!$C$17:$C$26</c:f>
              <c:strCache>
                <c:ptCount val="10"/>
                <c:pt idx="0">
                  <c:v>Antiagrégants</c:v>
                </c:pt>
                <c:pt idx="1">
                  <c:v>Statines</c:v>
                </c:pt>
                <c:pt idx="2">
                  <c:v>Antibiotiques</c:v>
                </c:pt>
                <c:pt idx="3">
                  <c:v>Antihypertenseurs</c:v>
                </c:pt>
                <c:pt idx="4">
                  <c:v>Antidépresseurs</c:v>
                </c:pt>
                <c:pt idx="5">
                  <c:v>Inhibiteurs de la pompe à proton</c:v>
                </c:pt>
                <c:pt idx="6">
                  <c:v>Anti-inflammatoires</c:v>
                </c:pt>
                <c:pt idx="7">
                  <c:v>Antidouleurs opiacés</c:v>
                </c:pt>
                <c:pt idx="8">
                  <c:v>Antipsychotiques</c:v>
                </c:pt>
                <c:pt idx="9">
                  <c:v>Hypoglycémiants</c:v>
                </c:pt>
              </c:strCache>
            </c:strRef>
          </c:cat>
          <c:val>
            <c:numRef>
              <c:f>tab_fig!$E$17:$E$26</c:f>
              <c:numCache>
                <c:formatCode>0%</c:formatCode>
                <c:ptCount val="10"/>
                <c:pt idx="0">
                  <c:v>8.0597811582599418E-2</c:v>
                </c:pt>
                <c:pt idx="1">
                  <c:v>3.8697624766479852E-2</c:v>
                </c:pt>
                <c:pt idx="2">
                  <c:v>6.6720042700827334E-2</c:v>
                </c:pt>
                <c:pt idx="3">
                  <c:v>5.7646116893514815E-2</c:v>
                </c:pt>
                <c:pt idx="4">
                  <c:v>9.0472377902321863E-2</c:v>
                </c:pt>
                <c:pt idx="5">
                  <c:v>9.5809981318388041E-2</c:v>
                </c:pt>
                <c:pt idx="6">
                  <c:v>2.1884174005871365E-2</c:v>
                </c:pt>
                <c:pt idx="7">
                  <c:v>5.0974112623432079E-2</c:v>
                </c:pt>
                <c:pt idx="8">
                  <c:v>5.7379236722711502E-2</c:v>
                </c:pt>
                <c:pt idx="9">
                  <c:v>9.8745663197224443E-3</c:v>
                </c:pt>
              </c:numCache>
            </c:numRef>
          </c:val>
          <c:extLst>
            <c:ext xmlns:c16="http://schemas.microsoft.com/office/drawing/2014/chart" uri="{C3380CC4-5D6E-409C-BE32-E72D297353CC}">
              <c16:uniqueId val="{00000001-0CC5-42C3-A3F6-BC8AE0553D91}"/>
            </c:ext>
          </c:extLst>
        </c:ser>
        <c:ser>
          <c:idx val="2"/>
          <c:order val="2"/>
          <c:tx>
            <c:strRef>
              <c:f>tab_fig!$F$16</c:f>
              <c:strCache>
                <c:ptCount val="1"/>
                <c:pt idx="0">
                  <c:v>% de la population qui continue le traitement en maison de repos</c:v>
                </c:pt>
              </c:strCache>
            </c:strRef>
          </c:tx>
          <c:spPr>
            <a:solidFill>
              <a:srgbClr val="B08588"/>
            </a:solidFill>
            <a:ln>
              <a:noFill/>
            </a:ln>
            <a:effectLst/>
          </c:spPr>
          <c:invertIfNegative val="0"/>
          <c:cat>
            <c:strRef>
              <c:f>tab_fig!$C$17:$C$26</c:f>
              <c:strCache>
                <c:ptCount val="10"/>
                <c:pt idx="0">
                  <c:v>Antiagrégants</c:v>
                </c:pt>
                <c:pt idx="1">
                  <c:v>Statines</c:v>
                </c:pt>
                <c:pt idx="2">
                  <c:v>Antibiotiques</c:v>
                </c:pt>
                <c:pt idx="3">
                  <c:v>Antihypertenseurs</c:v>
                </c:pt>
                <c:pt idx="4">
                  <c:v>Antidépresseurs</c:v>
                </c:pt>
                <c:pt idx="5">
                  <c:v>Inhibiteurs de la pompe à proton</c:v>
                </c:pt>
                <c:pt idx="6">
                  <c:v>Anti-inflammatoires</c:v>
                </c:pt>
                <c:pt idx="7">
                  <c:v>Antidouleurs opiacés</c:v>
                </c:pt>
                <c:pt idx="8">
                  <c:v>Antipsychotiques</c:v>
                </c:pt>
                <c:pt idx="9">
                  <c:v>Hypoglycémiants</c:v>
                </c:pt>
              </c:strCache>
            </c:strRef>
          </c:cat>
          <c:val>
            <c:numRef>
              <c:f>tab_fig!$F$17:$F$26</c:f>
              <c:numCache>
                <c:formatCode>0%</c:formatCode>
                <c:ptCount val="10"/>
                <c:pt idx="0">
                  <c:v>0.52361889511609283</c:v>
                </c:pt>
                <c:pt idx="1">
                  <c:v>0.28182546036829464</c:v>
                </c:pt>
                <c:pt idx="2">
                  <c:v>2.9623698959167333E-2</c:v>
                </c:pt>
                <c:pt idx="3">
                  <c:v>0.69815852682145718</c:v>
                </c:pt>
                <c:pt idx="4">
                  <c:v>0.29303442754203363</c:v>
                </c:pt>
                <c:pt idx="5">
                  <c:v>0.41206298372030958</c:v>
                </c:pt>
                <c:pt idx="6">
                  <c:v>1.0942087002935683E-2</c:v>
                </c:pt>
                <c:pt idx="7">
                  <c:v>8.4601014144649059E-2</c:v>
                </c:pt>
                <c:pt idx="8">
                  <c:v>5.6578596210301577E-2</c:v>
                </c:pt>
                <c:pt idx="9">
                  <c:v>0.1571924206031492</c:v>
                </c:pt>
              </c:numCache>
            </c:numRef>
          </c:val>
          <c:extLst>
            <c:ext xmlns:c16="http://schemas.microsoft.com/office/drawing/2014/chart" uri="{C3380CC4-5D6E-409C-BE32-E72D297353CC}">
              <c16:uniqueId val="{00000002-0CC5-42C3-A3F6-BC8AE0553D91}"/>
            </c:ext>
          </c:extLst>
        </c:ser>
        <c:ser>
          <c:idx val="3"/>
          <c:order val="3"/>
          <c:tx>
            <c:strRef>
              <c:f>tab_fig!$G$16</c:f>
              <c:strCache>
                <c:ptCount val="1"/>
                <c:pt idx="0">
                  <c:v>% de la population sans traitement</c:v>
                </c:pt>
              </c:strCache>
            </c:strRef>
          </c:tx>
          <c:spPr>
            <a:solidFill>
              <a:srgbClr val="F2D9DA"/>
            </a:solidFill>
            <a:ln>
              <a:noFill/>
            </a:ln>
            <a:effectLst/>
          </c:spPr>
          <c:invertIfNegative val="0"/>
          <c:cat>
            <c:strRef>
              <c:f>tab_fig!$C$17:$C$26</c:f>
              <c:strCache>
                <c:ptCount val="10"/>
                <c:pt idx="0">
                  <c:v>Antiagrégants</c:v>
                </c:pt>
                <c:pt idx="1">
                  <c:v>Statines</c:v>
                </c:pt>
                <c:pt idx="2">
                  <c:v>Antibiotiques</c:v>
                </c:pt>
                <c:pt idx="3">
                  <c:v>Antihypertenseurs</c:v>
                </c:pt>
                <c:pt idx="4">
                  <c:v>Antidépresseurs</c:v>
                </c:pt>
                <c:pt idx="5">
                  <c:v>Inhibiteurs de la pompe à proton</c:v>
                </c:pt>
                <c:pt idx="6">
                  <c:v>Anti-inflammatoires</c:v>
                </c:pt>
                <c:pt idx="7">
                  <c:v>Antidouleurs opiacés</c:v>
                </c:pt>
                <c:pt idx="8">
                  <c:v>Antipsychotiques</c:v>
                </c:pt>
                <c:pt idx="9">
                  <c:v>Hypoglycémiants</c:v>
                </c:pt>
              </c:strCache>
            </c:strRef>
          </c:cat>
          <c:val>
            <c:numRef>
              <c:f>tab_fig!$G$17:$G$26</c:f>
              <c:numCache>
                <c:formatCode>0%</c:formatCode>
                <c:ptCount val="10"/>
                <c:pt idx="0">
                  <c:v>0.24312783560181483</c:v>
                </c:pt>
                <c:pt idx="1">
                  <c:v>0.57512676808113161</c:v>
                </c:pt>
                <c:pt idx="2">
                  <c:v>0.81211635975447027</c:v>
                </c:pt>
                <c:pt idx="3">
                  <c:v>0.16840138777688818</c:v>
                </c:pt>
                <c:pt idx="4">
                  <c:v>0.55511075527088338</c:v>
                </c:pt>
                <c:pt idx="5">
                  <c:v>0.43341339738457429</c:v>
                </c:pt>
                <c:pt idx="6">
                  <c:v>0.9121964238057112</c:v>
                </c:pt>
                <c:pt idx="7">
                  <c:v>0.80971443821724043</c:v>
                </c:pt>
                <c:pt idx="8">
                  <c:v>0.8428075793968508</c:v>
                </c:pt>
                <c:pt idx="9">
                  <c:v>0.79503602882305846</c:v>
                </c:pt>
              </c:numCache>
            </c:numRef>
          </c:val>
          <c:extLst>
            <c:ext xmlns:c16="http://schemas.microsoft.com/office/drawing/2014/chart" uri="{C3380CC4-5D6E-409C-BE32-E72D297353CC}">
              <c16:uniqueId val="{00000003-0CC5-42C3-A3F6-BC8AE0553D91}"/>
            </c:ext>
          </c:extLst>
        </c:ser>
        <c:dLbls>
          <c:showLegendKey val="0"/>
          <c:showVal val="0"/>
          <c:showCatName val="0"/>
          <c:showSerName val="0"/>
          <c:showPercent val="0"/>
          <c:showBubbleSize val="0"/>
        </c:dLbls>
        <c:gapWidth val="150"/>
        <c:overlap val="100"/>
        <c:axId val="156974128"/>
        <c:axId val="156975304"/>
      </c:barChart>
      <c:catAx>
        <c:axId val="156974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975304"/>
        <c:crosses val="autoZero"/>
        <c:auto val="1"/>
        <c:lblAlgn val="ctr"/>
        <c:lblOffset val="100"/>
        <c:noMultiLvlLbl val="0"/>
      </c:catAx>
      <c:valAx>
        <c:axId val="156975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97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97d58b-676e-4715-b193-afa332bc0c08">
      <Terms xmlns="http://schemas.microsoft.com/office/infopath/2007/PartnerControls"/>
    </lcf76f155ced4ddcb4097134ff3c332f>
    <TaxCatchAll xmlns="0c47e327-0a02-402e-9e68-fd89842002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E2A601F432DC49BE7A00CC94AD090B" ma:contentTypeVersion="11" ma:contentTypeDescription="Crée un document." ma:contentTypeScope="" ma:versionID="cf57d361458be00f09386178f2c6a542">
  <xsd:schema xmlns:xsd="http://www.w3.org/2001/XMLSchema" xmlns:xs="http://www.w3.org/2001/XMLSchema" xmlns:p="http://schemas.microsoft.com/office/2006/metadata/properties" xmlns:ns2="1f97d58b-676e-4715-b193-afa332bc0c08" xmlns:ns3="0c47e327-0a02-402e-9e68-fd898420023d" targetNamespace="http://schemas.microsoft.com/office/2006/metadata/properties" ma:root="true" ma:fieldsID="8093852143c644260252873e7f1ea503" ns2:_="" ns3:_="">
    <xsd:import namespace="1f97d58b-676e-4715-b193-afa332bc0c08"/>
    <xsd:import namespace="0c47e327-0a02-402e-9e68-fd89842002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7d58b-676e-4715-b193-afa332bc0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d3a80c-dcfc-4322-8472-55d1b294c1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7e327-0a02-402e-9e68-fd89842002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5bd9d8-f5a1-46b6-ac84-d717a23b52cb}" ma:internalName="TaxCatchAll" ma:showField="CatchAllData" ma:web="0c47e327-0a02-402e-9e68-fd8984200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E7688-5B2C-417F-8F64-CFD41E0E7D06}">
  <ds:schemaRefs>
    <ds:schemaRef ds:uri="http://schemas.openxmlformats.org/officeDocument/2006/bibliography"/>
  </ds:schemaRefs>
</ds:datastoreItem>
</file>

<file path=customXml/itemProps2.xml><?xml version="1.0" encoding="utf-8"?>
<ds:datastoreItem xmlns:ds="http://schemas.openxmlformats.org/officeDocument/2006/customXml" ds:itemID="{703E836D-33D8-46F1-8975-AA8203C2C565}">
  <ds:schemaRefs>
    <ds:schemaRef ds:uri="http://schemas.microsoft.com/office/2006/metadata/properties"/>
    <ds:schemaRef ds:uri="http://schemas.microsoft.com/office/infopath/2007/PartnerControls"/>
    <ds:schemaRef ds:uri="1f97d58b-676e-4715-b193-afa332bc0c08"/>
    <ds:schemaRef ds:uri="0c47e327-0a02-402e-9e68-fd898420023d"/>
  </ds:schemaRefs>
</ds:datastoreItem>
</file>

<file path=customXml/itemProps3.xml><?xml version="1.0" encoding="utf-8"?>
<ds:datastoreItem xmlns:ds="http://schemas.openxmlformats.org/officeDocument/2006/customXml" ds:itemID="{35A3579C-DB40-4BDB-94CB-8A5D3CBCAAD0}">
  <ds:schemaRefs>
    <ds:schemaRef ds:uri="http://schemas.microsoft.com/sharepoint/v3/contenttype/forms"/>
  </ds:schemaRefs>
</ds:datastoreItem>
</file>

<file path=customXml/itemProps4.xml><?xml version="1.0" encoding="utf-8"?>
<ds:datastoreItem xmlns:ds="http://schemas.openxmlformats.org/officeDocument/2006/customXml" ds:itemID="{A2D35B11-42D7-4384-AD58-A98DD8F9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7d58b-676e-4715-b193-afa332bc0c08"/>
    <ds:schemaRef ds:uri="0c47e327-0a02-402e-9e68-fd8984200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studierapport</Template>
  <TotalTime>38</TotalTime>
  <Pages>20</Pages>
  <Words>7457</Words>
  <Characters>41015</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UNMS NVSM</Company>
  <LinksUpToDate>false</LinksUpToDate>
  <CharactersWithSpaces>48376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Mesens, Stephanie</dc:creator>
  <cp:keywords/>
  <dc:description/>
  <cp:lastModifiedBy>Vrancken, Jérôme</cp:lastModifiedBy>
  <cp:revision>33</cp:revision>
  <dcterms:created xsi:type="dcterms:W3CDTF">2023-03-20T08:05:00Z</dcterms:created>
  <dcterms:modified xsi:type="dcterms:W3CDTF">2023-06-27T09:21:00Z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0x01010067E2A601F432DC49BE7A00CC94AD090B</vt:lpwstr>
  </property>
  <property fmtid="{D5CDD505-2E9C-101B-9397-08002B2CF9AE}" pid="3" name="MediaServiceImageTags">
    <vt:lpwstr/>
  </property>
</Properties>
</file>