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E5585" w14:textId="1268AE36" w:rsidR="003B6BC2" w:rsidRDefault="003B6BC2" w:rsidP="00A73C39">
      <w:pPr>
        <w:pStyle w:val="Titre"/>
        <w:rPr>
          <w:lang w:val="fr-BE"/>
        </w:rPr>
      </w:pPr>
      <w:r>
        <w:rPr>
          <w:noProof/>
        </w:rPr>
        <w:drawing>
          <wp:inline distT="0" distB="0" distL="0" distR="0" wp14:anchorId="54F0086F" wp14:editId="17807AB8">
            <wp:extent cx="2214296" cy="990490"/>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030" cy="1012290"/>
                    </a:xfrm>
                    <a:prstGeom prst="rect">
                      <a:avLst/>
                    </a:prstGeom>
                    <a:noFill/>
                    <a:ln>
                      <a:noFill/>
                    </a:ln>
                  </pic:spPr>
                </pic:pic>
              </a:graphicData>
            </a:graphic>
          </wp:inline>
        </w:drawing>
      </w:r>
    </w:p>
    <w:p w14:paraId="3CBD2F0D" w14:textId="79E0F88C" w:rsidR="003B6BC2" w:rsidRPr="00F82CED" w:rsidRDefault="003B6BC2" w:rsidP="00A73C39">
      <w:pPr>
        <w:pStyle w:val="Titre"/>
        <w:rPr>
          <w:sz w:val="28"/>
          <w:szCs w:val="28"/>
          <w:lang w:val="fr-BE"/>
        </w:rPr>
      </w:pPr>
    </w:p>
    <w:p w14:paraId="5FBAE838" w14:textId="77777777" w:rsidR="00AA043F" w:rsidRPr="00AA043F" w:rsidRDefault="00AA043F" w:rsidP="001F2DFC">
      <w:pPr>
        <w:rPr>
          <w:lang w:val="fr-BE"/>
        </w:rPr>
      </w:pPr>
    </w:p>
    <w:p w14:paraId="6E68C8D8" w14:textId="5C23DB89" w:rsidR="00AA043F" w:rsidRPr="00AA043F" w:rsidRDefault="001F2DFC" w:rsidP="001F2DFC">
      <w:pPr>
        <w:pStyle w:val="Titre"/>
        <w:jc w:val="center"/>
        <w:rPr>
          <w:rFonts w:ascii="Arial" w:hAnsi="Arial"/>
          <w:b/>
          <w:caps/>
          <w:color w:val="5990A5"/>
          <w:spacing w:val="5"/>
          <w:sz w:val="32"/>
          <w:szCs w:val="32"/>
          <w:lang w:val="fr-FR"/>
        </w:rPr>
      </w:pPr>
      <w:r>
        <w:rPr>
          <w:rFonts w:ascii="Arial" w:hAnsi="Arial"/>
          <w:b/>
          <w:caps/>
          <w:color w:val="5990A5"/>
          <w:spacing w:val="5"/>
          <w:sz w:val="32"/>
          <w:szCs w:val="32"/>
          <w:lang w:val="fr-FR"/>
        </w:rPr>
        <w:t>FOCUS SUR</w:t>
      </w:r>
      <w:r w:rsidR="00E129E1" w:rsidRPr="00AA043F">
        <w:rPr>
          <w:rFonts w:ascii="Arial" w:hAnsi="Arial"/>
          <w:b/>
          <w:caps/>
          <w:color w:val="5990A5"/>
          <w:spacing w:val="5"/>
          <w:sz w:val="32"/>
          <w:szCs w:val="32"/>
          <w:lang w:val="fr-FR"/>
        </w:rPr>
        <w:t xml:space="preserve"> </w:t>
      </w:r>
      <w:r>
        <w:rPr>
          <w:rFonts w:ascii="Arial" w:hAnsi="Arial"/>
          <w:b/>
          <w:caps/>
          <w:color w:val="5990A5"/>
          <w:spacing w:val="5"/>
          <w:sz w:val="32"/>
          <w:szCs w:val="32"/>
          <w:lang w:val="fr-FR"/>
        </w:rPr>
        <w:t>L</w:t>
      </w:r>
      <w:r w:rsidR="00E129E1" w:rsidRPr="00AA043F">
        <w:rPr>
          <w:rFonts w:ascii="Arial" w:hAnsi="Arial"/>
          <w:b/>
          <w:caps/>
          <w:color w:val="5990A5"/>
          <w:spacing w:val="5"/>
          <w:sz w:val="32"/>
          <w:szCs w:val="32"/>
          <w:lang w:val="fr-FR"/>
        </w:rPr>
        <w:t xml:space="preserve">ES </w:t>
      </w:r>
      <w:r w:rsidR="00222A75" w:rsidRPr="00AA043F">
        <w:rPr>
          <w:rFonts w:ascii="Arial" w:hAnsi="Arial"/>
          <w:b/>
          <w:caps/>
          <w:color w:val="5990A5"/>
          <w:spacing w:val="5"/>
          <w:sz w:val="32"/>
          <w:szCs w:val="32"/>
          <w:lang w:val="fr-FR"/>
        </w:rPr>
        <w:t>MAISON</w:t>
      </w:r>
      <w:r w:rsidR="00E129E1" w:rsidRPr="00AA043F">
        <w:rPr>
          <w:rFonts w:ascii="Arial" w:hAnsi="Arial"/>
          <w:b/>
          <w:caps/>
          <w:color w:val="5990A5"/>
          <w:spacing w:val="5"/>
          <w:sz w:val="32"/>
          <w:szCs w:val="32"/>
          <w:lang w:val="fr-FR"/>
        </w:rPr>
        <w:t>S</w:t>
      </w:r>
      <w:r w:rsidR="00222A75" w:rsidRPr="00AA043F">
        <w:rPr>
          <w:rFonts w:ascii="Arial" w:hAnsi="Arial"/>
          <w:b/>
          <w:caps/>
          <w:color w:val="5990A5"/>
          <w:spacing w:val="5"/>
          <w:sz w:val="32"/>
          <w:szCs w:val="32"/>
          <w:lang w:val="fr-FR"/>
        </w:rPr>
        <w:t xml:space="preserve"> DE REPOS </w:t>
      </w:r>
      <w:r w:rsidR="00E129E1" w:rsidRPr="00AA043F">
        <w:rPr>
          <w:rFonts w:ascii="Arial" w:hAnsi="Arial"/>
          <w:b/>
          <w:caps/>
          <w:color w:val="5990A5"/>
          <w:spacing w:val="5"/>
          <w:sz w:val="32"/>
          <w:szCs w:val="32"/>
          <w:lang w:val="fr-FR"/>
        </w:rPr>
        <w:t>DE</w:t>
      </w:r>
      <w:r w:rsidR="00222A75" w:rsidRPr="00AA043F">
        <w:rPr>
          <w:rFonts w:ascii="Arial" w:hAnsi="Arial"/>
          <w:b/>
          <w:caps/>
          <w:color w:val="5990A5"/>
          <w:spacing w:val="5"/>
          <w:sz w:val="32"/>
          <w:szCs w:val="32"/>
          <w:lang w:val="fr-FR"/>
        </w:rPr>
        <w:t xml:space="preserve"> BRUXELLES ET </w:t>
      </w:r>
      <w:r w:rsidR="00E129E1" w:rsidRPr="00AA043F">
        <w:rPr>
          <w:rFonts w:ascii="Arial" w:hAnsi="Arial"/>
          <w:b/>
          <w:caps/>
          <w:color w:val="5990A5"/>
          <w:spacing w:val="5"/>
          <w:sz w:val="32"/>
          <w:szCs w:val="32"/>
          <w:lang w:val="fr-FR"/>
        </w:rPr>
        <w:t>DE</w:t>
      </w:r>
      <w:r w:rsidR="00222A75" w:rsidRPr="00AA043F">
        <w:rPr>
          <w:rFonts w:ascii="Arial" w:hAnsi="Arial"/>
          <w:b/>
          <w:caps/>
          <w:color w:val="5990A5"/>
          <w:spacing w:val="5"/>
          <w:sz w:val="32"/>
          <w:szCs w:val="32"/>
          <w:lang w:val="fr-FR"/>
        </w:rPr>
        <w:t xml:space="preserve"> WALLONIE</w:t>
      </w:r>
    </w:p>
    <w:p w14:paraId="62DC7F52" w14:textId="66A9EF1C" w:rsidR="00AA043F" w:rsidRDefault="00AA043F" w:rsidP="001F2DFC">
      <w:pPr>
        <w:pStyle w:val="Titre"/>
        <w:jc w:val="center"/>
        <w:rPr>
          <w:rFonts w:ascii="Arial" w:hAnsi="Arial"/>
          <w:b/>
          <w:caps/>
          <w:color w:val="5990A5"/>
          <w:spacing w:val="5"/>
          <w:sz w:val="32"/>
          <w:szCs w:val="32"/>
          <w:lang w:val="fr-FR"/>
        </w:rPr>
      </w:pPr>
      <w:r w:rsidRPr="00AA043F">
        <w:rPr>
          <w:rFonts w:ascii="Arial" w:hAnsi="Arial"/>
          <w:b/>
          <w:caps/>
          <w:color w:val="5990A5"/>
          <w:spacing w:val="5"/>
          <w:sz w:val="32"/>
          <w:szCs w:val="32"/>
          <w:lang w:val="fr-FR"/>
        </w:rPr>
        <w:t>PANDEMIE DE COVID-19</w:t>
      </w:r>
    </w:p>
    <w:p w14:paraId="1D1ED3A7" w14:textId="213B266F" w:rsidR="00AA043F" w:rsidRPr="00AA043F" w:rsidRDefault="00AA043F" w:rsidP="001F2DFC">
      <w:pPr>
        <w:pStyle w:val="Titre"/>
        <w:jc w:val="center"/>
        <w:rPr>
          <w:rFonts w:ascii="Arial" w:hAnsi="Arial"/>
          <w:b/>
          <w:caps/>
          <w:color w:val="5990A5"/>
          <w:spacing w:val="5"/>
          <w:sz w:val="28"/>
          <w:szCs w:val="28"/>
          <w:lang w:val="fr-FR"/>
        </w:rPr>
      </w:pPr>
      <w:r w:rsidRPr="00AA043F">
        <w:rPr>
          <w:rFonts w:ascii="Arial" w:hAnsi="Arial"/>
          <w:b/>
          <w:caps/>
          <w:color w:val="5990A5"/>
          <w:spacing w:val="5"/>
          <w:sz w:val="28"/>
          <w:szCs w:val="28"/>
          <w:lang w:val="fr-FR"/>
        </w:rPr>
        <w:t xml:space="preserve">(Note – </w:t>
      </w:r>
      <w:r w:rsidR="001F2DFC">
        <w:rPr>
          <w:rFonts w:ascii="Arial" w:hAnsi="Arial"/>
          <w:b/>
          <w:caps/>
          <w:color w:val="5990A5"/>
          <w:spacing w:val="5"/>
          <w:sz w:val="28"/>
          <w:szCs w:val="28"/>
          <w:lang w:val="fr-FR"/>
        </w:rPr>
        <w:t>ETUDE</w:t>
      </w:r>
      <w:r w:rsidRPr="00AA043F">
        <w:rPr>
          <w:rFonts w:ascii="Arial" w:hAnsi="Arial"/>
          <w:b/>
          <w:caps/>
          <w:color w:val="5990A5"/>
          <w:spacing w:val="5"/>
          <w:sz w:val="28"/>
          <w:szCs w:val="28"/>
          <w:lang w:val="fr-FR"/>
        </w:rPr>
        <w:t xml:space="preserve"> MUTUALITES LIBRES)</w:t>
      </w:r>
    </w:p>
    <w:p w14:paraId="02D76A8A" w14:textId="77777777" w:rsidR="00AA043F" w:rsidRPr="00AA043F" w:rsidRDefault="00AA043F" w:rsidP="001F2DFC">
      <w:pPr>
        <w:jc w:val="center"/>
        <w:rPr>
          <w:lang w:val="fr-FR"/>
        </w:rPr>
      </w:pPr>
    </w:p>
    <w:p w14:paraId="191B9306" w14:textId="400D64D3" w:rsidR="00DE11C6" w:rsidRPr="001F2DFC" w:rsidRDefault="00DE11C6" w:rsidP="001F2DFC">
      <w:pPr>
        <w:pStyle w:val="Titre"/>
        <w:jc w:val="center"/>
        <w:rPr>
          <w:rFonts w:ascii="Arial" w:hAnsi="Arial"/>
          <w:b/>
          <w:color w:val="404040" w:themeColor="text1" w:themeTint="BF"/>
          <w:sz w:val="22"/>
          <w:szCs w:val="22"/>
          <w:lang w:val="fr-FR"/>
        </w:rPr>
      </w:pPr>
    </w:p>
    <w:p w14:paraId="01584D25" w14:textId="29721851" w:rsidR="00484FFB" w:rsidRPr="00AD6034" w:rsidRDefault="00484FFB" w:rsidP="00DE11C6">
      <w:pPr>
        <w:spacing w:after="0"/>
        <w:rPr>
          <w:rFonts w:ascii="Arial" w:hAnsi="Arial"/>
          <w:b/>
          <w:color w:val="404040" w:themeColor="text1" w:themeTint="BF"/>
          <w:sz w:val="26"/>
          <w:szCs w:val="26"/>
          <w:lang w:val="fr-FR"/>
        </w:rPr>
      </w:pPr>
      <w:r w:rsidRPr="00AD6034">
        <w:rPr>
          <w:rFonts w:ascii="Arial" w:hAnsi="Arial"/>
          <w:b/>
          <w:color w:val="404040" w:themeColor="text1" w:themeTint="BF"/>
          <w:sz w:val="26"/>
          <w:szCs w:val="26"/>
          <w:lang w:val="fr-FR"/>
        </w:rPr>
        <w:t>Introduction</w:t>
      </w:r>
    </w:p>
    <w:p w14:paraId="37720B3B" w14:textId="77777777" w:rsidR="00DE11C6" w:rsidRDefault="00DE11C6" w:rsidP="0099719E">
      <w:pPr>
        <w:jc w:val="both"/>
        <w:rPr>
          <w:lang w:val="fr-BE"/>
        </w:rPr>
      </w:pPr>
    </w:p>
    <w:p w14:paraId="058A32C7" w14:textId="51E41E7A" w:rsidR="0099719E" w:rsidRPr="00F70354" w:rsidRDefault="00484FFB" w:rsidP="0099719E">
      <w:pPr>
        <w:jc w:val="both"/>
        <w:rPr>
          <w:rFonts w:ascii="Arial" w:hAnsi="Arial" w:cs="Arial"/>
          <w:lang w:val="fr-BE"/>
        </w:rPr>
      </w:pPr>
      <w:r w:rsidRPr="00F70354">
        <w:rPr>
          <w:rFonts w:ascii="Arial" w:hAnsi="Arial" w:cs="Arial"/>
          <w:lang w:val="fr-BE"/>
        </w:rPr>
        <w:t xml:space="preserve">La Belgique n’a malheureusement pas été épargnée par la pandémie de Covid-19 qui a fait des ravages dans le monde entier. Nous comptons aujourd’hui dans notre pays plus de 25.000 décès dont une grande partie parmi les résidents en maison en repos. Selon les données de Sciensano, 51% des personnes décédées du Covid-19 </w:t>
      </w:r>
      <w:r w:rsidR="0093227B" w:rsidRPr="00F70354">
        <w:rPr>
          <w:rFonts w:ascii="Arial" w:hAnsi="Arial" w:cs="Arial"/>
          <w:lang w:val="fr-BE"/>
        </w:rPr>
        <w:t>seraient</w:t>
      </w:r>
      <w:r w:rsidRPr="00F70354">
        <w:rPr>
          <w:rFonts w:ascii="Arial" w:hAnsi="Arial" w:cs="Arial"/>
          <w:lang w:val="fr-BE"/>
        </w:rPr>
        <w:t xml:space="preserve"> des résidents en maison de repos</w:t>
      </w:r>
      <w:r w:rsidRPr="00F70354">
        <w:rPr>
          <w:rStyle w:val="Appelnotedebasdep"/>
          <w:rFonts w:ascii="Arial" w:hAnsi="Arial" w:cs="Arial"/>
          <w:lang w:val="fr-BE"/>
        </w:rPr>
        <w:footnoteReference w:id="2"/>
      </w:r>
      <w:r w:rsidRPr="00F70354">
        <w:rPr>
          <w:rFonts w:ascii="Arial" w:hAnsi="Arial" w:cs="Arial"/>
          <w:lang w:val="fr-BE"/>
        </w:rPr>
        <w:t xml:space="preserve">. La gestion et la prise en charge de ces personnes par </w:t>
      </w:r>
      <w:r w:rsidR="006A1A39" w:rsidRPr="00F70354">
        <w:rPr>
          <w:rFonts w:ascii="Arial" w:hAnsi="Arial" w:cs="Arial"/>
          <w:lang w:val="fr-BE"/>
        </w:rPr>
        <w:t>les maisons de repos</w:t>
      </w:r>
      <w:r w:rsidRPr="00F70354">
        <w:rPr>
          <w:rFonts w:ascii="Arial" w:hAnsi="Arial" w:cs="Arial"/>
          <w:lang w:val="fr-BE"/>
        </w:rPr>
        <w:t xml:space="preserve"> ont souvent fait l’objet de nombreuses critiques, ce qui a pu conduire les citoyens vers un manque de confiance envers ces institutions. Sur base de ces éléments, il est bien possible que cette méfiance induise les personnes âgées et leurs proches à ne se rendre en maison de repos qu’en ultime recours, lorsque le maintien à domicile devient impossible. Cela pourrait ainsi avoir pour conséquence des entrées en maison de repos tardives avec des profils de dépendance plus sévères qu’auparavant. </w:t>
      </w:r>
      <w:r w:rsidR="0099719E" w:rsidRPr="00F70354">
        <w:rPr>
          <w:rFonts w:ascii="Arial" w:hAnsi="Arial" w:cs="Arial"/>
          <w:lang w:val="fr-BE"/>
        </w:rPr>
        <w:t xml:space="preserve">Nos données administratives nous permettent de voir si la mortalité a bien été excessive en maison de repos et si nous avons bien assisté à un glissement vers des entrées en maison de repos plus tardives avec des profils de dépendance plus sévères. </w:t>
      </w:r>
    </w:p>
    <w:p w14:paraId="3DFD3237" w14:textId="6F543F2C" w:rsidR="0099719E" w:rsidRPr="00F70354" w:rsidRDefault="004958D2" w:rsidP="0099719E">
      <w:pPr>
        <w:spacing w:after="0"/>
        <w:jc w:val="both"/>
        <w:rPr>
          <w:rFonts w:ascii="Arial" w:hAnsi="Arial" w:cs="Arial"/>
          <w:lang w:val="fr-BE"/>
        </w:rPr>
      </w:pPr>
      <w:r w:rsidRPr="00F70354">
        <w:rPr>
          <w:rFonts w:ascii="Arial" w:hAnsi="Arial" w:cs="Arial"/>
          <w:lang w:val="fr-BE"/>
        </w:rPr>
        <w:t>En Belgique, comme dans la plupart des autres pays industrialisés, l’utilisation de médicaments parmi les personnes âgées, et plus particulièrement parmi les résidents en maison de repos, est élevée. Ces personnes souffrent souvent de plusieurs affections (chroniques) et utilisent différents médicaments en même temps pour les traiter. Pour les résidents en maison de repos pour personnes âgées (MRPA) ou en maison de repos et de soins (MRS), l’usage des psycho-médications (antidépresseurs et antipsychotiques) est particulièrement élevé. L’étude des Mutualités Libres publiée en 2014</w:t>
      </w:r>
      <w:r w:rsidRPr="00F70354">
        <w:rPr>
          <w:rStyle w:val="Appelnotedebasdep"/>
          <w:rFonts w:ascii="Arial" w:hAnsi="Arial" w:cs="Arial"/>
          <w:lang w:val="fr-BE"/>
        </w:rPr>
        <w:footnoteReference w:id="3"/>
      </w:r>
      <w:r w:rsidRPr="00F70354">
        <w:rPr>
          <w:rFonts w:ascii="Arial" w:hAnsi="Arial" w:cs="Arial"/>
          <w:lang w:val="fr-BE"/>
        </w:rPr>
        <w:t xml:space="preserve"> a montré que 53% des résidents en maison de repos</w:t>
      </w:r>
      <w:r w:rsidR="00735AED" w:rsidRPr="00F70354">
        <w:rPr>
          <w:rFonts w:ascii="Arial" w:hAnsi="Arial" w:cs="Arial"/>
          <w:lang w:val="fr-BE"/>
        </w:rPr>
        <w:t xml:space="preserve"> en Belgique</w:t>
      </w:r>
      <w:r w:rsidRPr="00F70354">
        <w:rPr>
          <w:rFonts w:ascii="Arial" w:hAnsi="Arial" w:cs="Arial"/>
          <w:lang w:val="fr-BE"/>
        </w:rPr>
        <w:t xml:space="preserve"> étaient sous antidépresseurs et 36% sous antipsychotiques</w:t>
      </w:r>
      <w:r w:rsidR="0093227B" w:rsidRPr="00F70354">
        <w:rPr>
          <w:rFonts w:ascii="Arial" w:hAnsi="Arial" w:cs="Arial"/>
          <w:lang w:val="fr-BE"/>
        </w:rPr>
        <w:t>.</w:t>
      </w:r>
      <w:r w:rsidR="0099719E" w:rsidRPr="00F70354">
        <w:rPr>
          <w:rFonts w:ascii="Arial" w:hAnsi="Arial" w:cs="Arial"/>
          <w:lang w:val="fr-BE"/>
        </w:rPr>
        <w:t xml:space="preserve"> </w:t>
      </w:r>
      <w:r w:rsidR="009E2073" w:rsidRPr="00F70354">
        <w:rPr>
          <w:rFonts w:ascii="Arial" w:hAnsi="Arial" w:cs="Arial"/>
          <w:lang w:val="fr-BE"/>
        </w:rPr>
        <w:t>La sixième et dernière enquête de Sciensano</w:t>
      </w:r>
      <w:r w:rsidR="009E2073" w:rsidRPr="00F70354">
        <w:rPr>
          <w:rStyle w:val="Appelnotedebasdep"/>
          <w:rFonts w:ascii="Arial" w:hAnsi="Arial" w:cs="Arial"/>
          <w:lang w:val="fr-BE"/>
        </w:rPr>
        <w:footnoteReference w:id="4"/>
      </w:r>
      <w:r w:rsidR="009E2073" w:rsidRPr="00F70354">
        <w:rPr>
          <w:rFonts w:ascii="Arial" w:hAnsi="Arial" w:cs="Arial"/>
          <w:lang w:val="fr-BE"/>
        </w:rPr>
        <w:t xml:space="preserve">, qui porte sur les personnes âgées de 18 ans et plus, a montré que les troubles anxieux et dépressifs ont fortement augmenté pendant la crise sanitaire par rapport à l’année 2018 : la prévalence des troubles anxieux est passée de 11% à 23% entre 2018 et le mois d’avril 2020 (pic de l’épidémie), tandis </w:t>
      </w:r>
      <w:r w:rsidR="009E2073" w:rsidRPr="00F70354">
        <w:rPr>
          <w:rFonts w:ascii="Arial" w:hAnsi="Arial" w:cs="Arial"/>
          <w:lang w:val="fr-BE"/>
        </w:rPr>
        <w:lastRenderedPageBreak/>
        <w:t>que celle des troubles dépressifs est montée de 9,5% à 20% pendant cette même période. Sur base de nos données administratives de remboursements de médicaments, il nous est possible de voir comment l’utilisation d’antidépresseurs et d’antipsychotiques a évolué lors de la pandémie de Covid-19 parmi les résidents en maison de repos. Cette analyse</w:t>
      </w:r>
      <w:r w:rsidR="0099719E" w:rsidRPr="00F70354">
        <w:rPr>
          <w:rFonts w:ascii="Arial" w:hAnsi="Arial" w:cs="Arial"/>
          <w:lang w:val="fr-BE"/>
        </w:rPr>
        <w:t xml:space="preserve"> nous permettra de dire si la pandémie de Covid-19 a été accompagnée ou non d’une hausse de l’usage de médicaments (et plus particulièrement les antidépresseurs et les antipsychotiques) parmi les résidents en maison de repos. Il sera alors possible de voir si le ressenti de la population, à savoir une dégradation des problèmes de santé mentale pendant la crise sanitaire, </w:t>
      </w:r>
      <w:r w:rsidR="00735AED" w:rsidRPr="00F70354">
        <w:rPr>
          <w:rFonts w:ascii="Arial" w:hAnsi="Arial" w:cs="Arial"/>
          <w:lang w:val="fr-BE"/>
        </w:rPr>
        <w:t>s’observe également</w:t>
      </w:r>
      <w:r w:rsidR="007C4E53" w:rsidRPr="00F70354">
        <w:rPr>
          <w:rFonts w:ascii="Arial" w:hAnsi="Arial" w:cs="Arial"/>
          <w:lang w:val="fr-BE"/>
        </w:rPr>
        <w:t xml:space="preserve"> </w:t>
      </w:r>
      <w:r w:rsidR="00531C1C" w:rsidRPr="00F70354">
        <w:rPr>
          <w:rFonts w:ascii="Arial" w:hAnsi="Arial" w:cs="Arial"/>
          <w:lang w:val="fr-BE"/>
        </w:rPr>
        <w:t>chez</w:t>
      </w:r>
      <w:r w:rsidR="007C4E53" w:rsidRPr="00F70354">
        <w:rPr>
          <w:rFonts w:ascii="Arial" w:hAnsi="Arial" w:cs="Arial"/>
          <w:lang w:val="fr-BE"/>
        </w:rPr>
        <w:t xml:space="preserve"> les résidents </w:t>
      </w:r>
      <w:r w:rsidR="00735AED" w:rsidRPr="00F70354">
        <w:rPr>
          <w:rFonts w:ascii="Arial" w:hAnsi="Arial" w:cs="Arial"/>
          <w:lang w:val="fr-BE"/>
        </w:rPr>
        <w:t>en</w:t>
      </w:r>
      <w:r w:rsidRPr="00F70354">
        <w:rPr>
          <w:rFonts w:ascii="Arial" w:hAnsi="Arial" w:cs="Arial"/>
          <w:lang w:val="fr-BE"/>
        </w:rPr>
        <w:t xml:space="preserve"> </w:t>
      </w:r>
      <w:r w:rsidR="007C4E53" w:rsidRPr="00F70354">
        <w:rPr>
          <w:rFonts w:ascii="Arial" w:hAnsi="Arial" w:cs="Arial"/>
          <w:lang w:val="fr-BE"/>
        </w:rPr>
        <w:t>maison</w:t>
      </w:r>
      <w:r w:rsidR="00531C1C" w:rsidRPr="00F70354">
        <w:rPr>
          <w:rFonts w:ascii="Arial" w:hAnsi="Arial" w:cs="Arial"/>
          <w:lang w:val="fr-BE"/>
        </w:rPr>
        <w:t xml:space="preserve"> </w:t>
      </w:r>
      <w:r w:rsidRPr="00F70354">
        <w:rPr>
          <w:rFonts w:ascii="Arial" w:hAnsi="Arial" w:cs="Arial"/>
          <w:lang w:val="fr-BE"/>
        </w:rPr>
        <w:t>de repos</w:t>
      </w:r>
      <w:r w:rsidR="00531C1C" w:rsidRPr="00F70354">
        <w:rPr>
          <w:rFonts w:ascii="Arial" w:hAnsi="Arial" w:cs="Arial"/>
          <w:lang w:val="fr-BE"/>
        </w:rPr>
        <w:t>.</w:t>
      </w:r>
    </w:p>
    <w:p w14:paraId="34E8485B" w14:textId="2E6FD15E" w:rsidR="00846C8E" w:rsidRPr="00F70354" w:rsidRDefault="00846C8E" w:rsidP="001F2DFC">
      <w:pPr>
        <w:spacing w:after="0"/>
        <w:jc w:val="both"/>
        <w:rPr>
          <w:rFonts w:ascii="Arial" w:hAnsi="Arial" w:cs="Arial"/>
          <w:lang w:val="fr-BE"/>
        </w:rPr>
      </w:pPr>
    </w:p>
    <w:p w14:paraId="124E7351" w14:textId="62C6E49C" w:rsidR="00484FFB" w:rsidRDefault="00484FFB" w:rsidP="001F2DFC">
      <w:pPr>
        <w:pStyle w:val="Commentaire"/>
        <w:spacing w:after="0"/>
        <w:jc w:val="both"/>
        <w:rPr>
          <w:rFonts w:ascii="Arial" w:hAnsi="Arial" w:cs="Arial"/>
          <w:sz w:val="22"/>
          <w:szCs w:val="22"/>
          <w:lang w:val="fr-BE"/>
        </w:rPr>
      </w:pPr>
      <w:r w:rsidRPr="00F70354">
        <w:rPr>
          <w:rFonts w:ascii="Arial" w:hAnsi="Arial" w:cs="Arial"/>
          <w:sz w:val="22"/>
          <w:szCs w:val="22"/>
          <w:lang w:val="fr-BE"/>
        </w:rPr>
        <w:t xml:space="preserve">La recherche internationale a démontré que </w:t>
      </w:r>
      <w:r w:rsidR="00846C8E" w:rsidRPr="00F70354">
        <w:rPr>
          <w:rFonts w:ascii="Arial" w:hAnsi="Arial" w:cs="Arial"/>
          <w:sz w:val="22"/>
          <w:szCs w:val="22"/>
          <w:lang w:val="fr-BE"/>
        </w:rPr>
        <w:t>l’</w:t>
      </w:r>
      <w:r w:rsidRPr="00F70354">
        <w:rPr>
          <w:rFonts w:ascii="Arial" w:hAnsi="Arial" w:cs="Arial"/>
          <w:sz w:val="22"/>
          <w:szCs w:val="22"/>
          <w:lang w:val="fr-BE"/>
        </w:rPr>
        <w:t>utilisation considérable de médicaments parmi les personnes âgées peut conduire à la polymédication et à l’apparition d’effets indésirables. Il est donc important d’encourager l’utilisation rationnelle et efficiente des médicaments, et plus particulièrement les antipsychotiques et les antidépresseurs, ainsi que l’instauration de mesures non-médicamenteuses qui peuvent améliorer la situation du patient. Nous pensons, par exemple, à un accompagnement psychologique structurel</w:t>
      </w:r>
      <w:r w:rsidR="006A1A39" w:rsidRPr="00F70354">
        <w:rPr>
          <w:rFonts w:ascii="Arial" w:hAnsi="Arial" w:cs="Arial"/>
          <w:sz w:val="22"/>
          <w:szCs w:val="22"/>
          <w:lang w:val="fr-BE"/>
        </w:rPr>
        <w:t xml:space="preserve"> </w:t>
      </w:r>
      <w:r w:rsidRPr="00F70354">
        <w:rPr>
          <w:rFonts w:ascii="Arial" w:hAnsi="Arial" w:cs="Arial"/>
          <w:sz w:val="22"/>
          <w:szCs w:val="22"/>
          <w:lang w:val="fr-BE"/>
        </w:rPr>
        <w:t>pour les résidents au sein de la maison de repos.</w:t>
      </w:r>
    </w:p>
    <w:p w14:paraId="033D1269" w14:textId="77777777" w:rsidR="003C6D89" w:rsidRPr="00F70354" w:rsidRDefault="003C6D89" w:rsidP="001F2DFC">
      <w:pPr>
        <w:pStyle w:val="Commentaire"/>
        <w:spacing w:after="0"/>
        <w:jc w:val="both"/>
        <w:rPr>
          <w:rFonts w:ascii="Arial" w:hAnsi="Arial" w:cs="Arial"/>
          <w:sz w:val="22"/>
          <w:szCs w:val="22"/>
          <w:lang w:val="fr-BE"/>
        </w:rPr>
      </w:pPr>
    </w:p>
    <w:p w14:paraId="66AAB2A8" w14:textId="12BFE010" w:rsidR="00484FFB" w:rsidRPr="00F70354" w:rsidRDefault="00484FFB" w:rsidP="001F2DFC">
      <w:pPr>
        <w:pStyle w:val="Commentaire"/>
        <w:spacing w:after="0"/>
        <w:jc w:val="both"/>
        <w:rPr>
          <w:rFonts w:ascii="Arial" w:hAnsi="Arial" w:cs="Arial"/>
          <w:sz w:val="22"/>
          <w:szCs w:val="22"/>
          <w:lang w:val="fr-BE"/>
        </w:rPr>
      </w:pPr>
      <w:r w:rsidRPr="00F70354">
        <w:rPr>
          <w:rFonts w:ascii="Arial" w:hAnsi="Arial" w:cs="Arial"/>
          <w:sz w:val="22"/>
          <w:szCs w:val="22"/>
          <w:lang w:val="fr-BE"/>
        </w:rPr>
        <w:t>Par ailleurs, il faut également agir en amont de manière préventive pour préserver la bonne santé mentale du résident. A ce titre,</w:t>
      </w:r>
      <w:r w:rsidR="006A1A39" w:rsidRPr="00F70354">
        <w:rPr>
          <w:rFonts w:ascii="Arial" w:hAnsi="Arial" w:cs="Arial"/>
          <w:sz w:val="22"/>
          <w:szCs w:val="22"/>
          <w:lang w:val="fr-BE"/>
        </w:rPr>
        <w:t xml:space="preserve"> </w:t>
      </w:r>
      <w:r w:rsidRPr="00F70354">
        <w:rPr>
          <w:rFonts w:ascii="Arial" w:hAnsi="Arial" w:cs="Arial"/>
          <w:sz w:val="22"/>
          <w:szCs w:val="22"/>
          <w:lang w:val="fr-BE"/>
        </w:rPr>
        <w:t xml:space="preserve">nous plaidons pour renforcer la participation active des résidents dans la vie </w:t>
      </w:r>
      <w:r w:rsidR="003E4E31" w:rsidRPr="00F70354">
        <w:rPr>
          <w:rFonts w:ascii="Arial" w:hAnsi="Arial" w:cs="Arial"/>
          <w:sz w:val="22"/>
          <w:szCs w:val="22"/>
          <w:lang w:val="fr-BE"/>
        </w:rPr>
        <w:t>des maisons</w:t>
      </w:r>
      <w:r w:rsidRPr="00F70354">
        <w:rPr>
          <w:rFonts w:ascii="Arial" w:hAnsi="Arial" w:cs="Arial"/>
          <w:sz w:val="22"/>
          <w:szCs w:val="22"/>
          <w:lang w:val="fr-BE"/>
        </w:rPr>
        <w:t xml:space="preserve"> de repos. Nous estimons également qu’il faudrait systématiser des activités et animations favorisant l’autodétermination et l’estime de soi. </w:t>
      </w:r>
    </w:p>
    <w:p w14:paraId="40AC78C2" w14:textId="77777777" w:rsidR="001F2DFC" w:rsidRDefault="001F2DFC" w:rsidP="001F2DFC">
      <w:pPr>
        <w:spacing w:after="0"/>
        <w:jc w:val="both"/>
        <w:rPr>
          <w:rFonts w:ascii="Arial" w:hAnsi="Arial" w:cs="Arial"/>
          <w:lang w:val="fr-BE"/>
        </w:rPr>
      </w:pPr>
    </w:p>
    <w:p w14:paraId="4969D799" w14:textId="2060E7E1" w:rsidR="00A73C39" w:rsidRPr="00F70354" w:rsidRDefault="0099719E" w:rsidP="0099719E">
      <w:pPr>
        <w:jc w:val="both"/>
        <w:rPr>
          <w:rFonts w:ascii="Arial" w:hAnsi="Arial" w:cs="Arial"/>
          <w:lang w:val="fr-BE"/>
        </w:rPr>
      </w:pPr>
      <w:r w:rsidRPr="00F70354">
        <w:rPr>
          <w:rFonts w:ascii="Arial" w:hAnsi="Arial" w:cs="Arial"/>
          <w:lang w:val="fr-BE"/>
        </w:rPr>
        <w:t xml:space="preserve">Dans cette note, on analyse alors la situation des maisons de repos de Bruxelles et de Wallonie pendant la pandémie de COVID-19 selon plusieurs axes. Premièrement on analyse la mortalité en maison de repos parmi les membres des Mutualités Libres. Puis on </w:t>
      </w:r>
      <w:r w:rsidR="00E40C9E" w:rsidRPr="00F70354">
        <w:rPr>
          <w:rFonts w:ascii="Arial" w:hAnsi="Arial" w:cs="Arial"/>
          <w:lang w:val="fr-BE"/>
        </w:rPr>
        <w:t>étudie</w:t>
      </w:r>
      <w:r w:rsidRPr="00F70354">
        <w:rPr>
          <w:rFonts w:ascii="Arial" w:hAnsi="Arial" w:cs="Arial"/>
          <w:lang w:val="fr-BE"/>
        </w:rPr>
        <w:t xml:space="preserve"> le profil de dépendance des nouveaux résidents des maisons de</w:t>
      </w:r>
      <w:r w:rsidR="00E40C9E" w:rsidRPr="00F70354">
        <w:rPr>
          <w:rFonts w:ascii="Arial" w:hAnsi="Arial" w:cs="Arial"/>
          <w:lang w:val="fr-BE"/>
        </w:rPr>
        <w:t xml:space="preserve"> repos</w:t>
      </w:r>
      <w:r w:rsidRPr="00F70354">
        <w:rPr>
          <w:rFonts w:ascii="Arial" w:hAnsi="Arial" w:cs="Arial"/>
          <w:lang w:val="fr-BE"/>
        </w:rPr>
        <w:t>. Finalement</w:t>
      </w:r>
      <w:r w:rsidR="00E40C9E" w:rsidRPr="00F70354">
        <w:rPr>
          <w:rFonts w:ascii="Arial" w:hAnsi="Arial" w:cs="Arial"/>
          <w:lang w:val="fr-BE"/>
        </w:rPr>
        <w:t>,</w:t>
      </w:r>
      <w:r w:rsidRPr="00F70354">
        <w:rPr>
          <w:rFonts w:ascii="Arial" w:hAnsi="Arial" w:cs="Arial"/>
          <w:lang w:val="fr-BE"/>
        </w:rPr>
        <w:t xml:space="preserve"> on </w:t>
      </w:r>
      <w:r w:rsidR="00E40C9E" w:rsidRPr="00F70354">
        <w:rPr>
          <w:rFonts w:ascii="Arial" w:hAnsi="Arial" w:cs="Arial"/>
          <w:lang w:val="fr-BE"/>
        </w:rPr>
        <w:t>explore le recours des résidents aux</w:t>
      </w:r>
      <w:r w:rsidR="00191CB4" w:rsidRPr="00F70354">
        <w:rPr>
          <w:rFonts w:ascii="Arial" w:hAnsi="Arial" w:cs="Arial"/>
          <w:lang w:val="fr-BE"/>
        </w:rPr>
        <w:t xml:space="preserve"> médicaments remboursés par l’assurance-maladie</w:t>
      </w:r>
      <w:r w:rsidR="00E40C9E" w:rsidRPr="00F70354">
        <w:rPr>
          <w:rFonts w:ascii="Arial" w:hAnsi="Arial" w:cs="Arial"/>
          <w:lang w:val="fr-BE"/>
        </w:rPr>
        <w:t xml:space="preserve">, et plus particulièrement </w:t>
      </w:r>
      <w:r w:rsidR="009E2073" w:rsidRPr="00F70354">
        <w:rPr>
          <w:rFonts w:ascii="Arial" w:hAnsi="Arial" w:cs="Arial"/>
          <w:lang w:val="fr-BE"/>
        </w:rPr>
        <w:t xml:space="preserve">la polymédication, </w:t>
      </w:r>
      <w:r w:rsidR="00E40C9E" w:rsidRPr="00F70354">
        <w:rPr>
          <w:rFonts w:ascii="Arial" w:hAnsi="Arial" w:cs="Arial"/>
          <w:lang w:val="fr-BE"/>
        </w:rPr>
        <w:t>les antidépresseurs et antipsychotiques</w:t>
      </w:r>
      <w:r w:rsidRPr="00F70354">
        <w:rPr>
          <w:rFonts w:ascii="Arial" w:hAnsi="Arial" w:cs="Arial"/>
          <w:lang w:val="fr-BE"/>
        </w:rPr>
        <w:t>. On compare la situation en 2019 à celle de 2020</w:t>
      </w:r>
      <w:r w:rsidR="00E40C9E" w:rsidRPr="00F70354">
        <w:rPr>
          <w:rFonts w:ascii="Arial" w:hAnsi="Arial" w:cs="Arial"/>
          <w:lang w:val="fr-BE"/>
        </w:rPr>
        <w:t xml:space="preserve"> afin de faire un parallèle entre la situation pré et post-COVID</w:t>
      </w:r>
      <w:r w:rsidRPr="00F70354">
        <w:rPr>
          <w:rFonts w:ascii="Arial" w:hAnsi="Arial" w:cs="Arial"/>
          <w:lang w:val="fr-BE"/>
        </w:rPr>
        <w:t>.</w:t>
      </w:r>
    </w:p>
    <w:p w14:paraId="18AAC128" w14:textId="77777777" w:rsidR="00F70354" w:rsidRDefault="00F70354" w:rsidP="00DE11C6">
      <w:pPr>
        <w:spacing w:after="0"/>
        <w:rPr>
          <w:rFonts w:ascii="Arial" w:hAnsi="Arial" w:cs="Arial"/>
          <w:b/>
          <w:color w:val="404040" w:themeColor="text1" w:themeTint="BF"/>
          <w:sz w:val="26"/>
          <w:szCs w:val="26"/>
          <w:lang w:val="fr-FR"/>
        </w:rPr>
      </w:pPr>
    </w:p>
    <w:p w14:paraId="2BBFF3C2" w14:textId="395F50C7" w:rsidR="00CD72B3" w:rsidRPr="00F70354" w:rsidRDefault="00A73C39" w:rsidP="00DE11C6">
      <w:pPr>
        <w:spacing w:after="0"/>
        <w:rPr>
          <w:rFonts w:ascii="Arial" w:hAnsi="Arial" w:cs="Arial"/>
          <w:b/>
          <w:color w:val="404040" w:themeColor="text1" w:themeTint="BF"/>
          <w:sz w:val="26"/>
          <w:szCs w:val="26"/>
          <w:lang w:val="fr-FR"/>
        </w:rPr>
      </w:pPr>
      <w:r w:rsidRPr="00F70354">
        <w:rPr>
          <w:rFonts w:ascii="Arial" w:hAnsi="Arial" w:cs="Arial"/>
          <w:b/>
          <w:color w:val="404040" w:themeColor="text1" w:themeTint="BF"/>
          <w:sz w:val="26"/>
          <w:szCs w:val="26"/>
          <w:lang w:val="fr-FR"/>
        </w:rPr>
        <w:t>Méthodologie</w:t>
      </w:r>
    </w:p>
    <w:p w14:paraId="08061632" w14:textId="77777777" w:rsidR="00AD6034" w:rsidRPr="00F70354" w:rsidRDefault="00AD6034" w:rsidP="00DE11C6">
      <w:pPr>
        <w:spacing w:after="0"/>
        <w:rPr>
          <w:rFonts w:ascii="Arial" w:hAnsi="Arial" w:cs="Arial"/>
          <w:b/>
          <w:color w:val="404040" w:themeColor="text1" w:themeTint="BF"/>
          <w:sz w:val="26"/>
          <w:szCs w:val="26"/>
          <w:lang w:val="fr-FR"/>
        </w:rPr>
      </w:pPr>
    </w:p>
    <w:p w14:paraId="7EEF47FF" w14:textId="048A56F0" w:rsidR="00996212" w:rsidRPr="00F70354" w:rsidRDefault="00996212" w:rsidP="00996212">
      <w:pPr>
        <w:jc w:val="both"/>
        <w:rPr>
          <w:rFonts w:ascii="Arial" w:hAnsi="Arial" w:cs="Arial"/>
          <w:lang w:val="fr-BE"/>
        </w:rPr>
      </w:pPr>
      <w:r w:rsidRPr="00F70354">
        <w:rPr>
          <w:rFonts w:ascii="Arial" w:hAnsi="Arial" w:cs="Arial"/>
          <w:lang w:val="fr-BE"/>
        </w:rPr>
        <w:t xml:space="preserve">Notre analyse porte </w:t>
      </w:r>
      <w:r w:rsidR="00950F04" w:rsidRPr="00F70354">
        <w:rPr>
          <w:rFonts w:ascii="Arial" w:hAnsi="Arial" w:cs="Arial"/>
          <w:lang w:val="fr-BE"/>
        </w:rPr>
        <w:t xml:space="preserve">uniquement </w:t>
      </w:r>
      <w:r w:rsidRPr="00F70354">
        <w:rPr>
          <w:rFonts w:ascii="Arial" w:hAnsi="Arial" w:cs="Arial"/>
          <w:lang w:val="fr-BE"/>
        </w:rPr>
        <w:t xml:space="preserve">sur les </w:t>
      </w:r>
      <w:r w:rsidR="00846C8E" w:rsidRPr="00F70354">
        <w:rPr>
          <w:rFonts w:ascii="Arial" w:hAnsi="Arial" w:cs="Arial"/>
          <w:lang w:val="fr-BE"/>
        </w:rPr>
        <w:t xml:space="preserve">institutions en </w:t>
      </w:r>
      <w:r w:rsidRPr="00F70354">
        <w:rPr>
          <w:rFonts w:ascii="Arial" w:hAnsi="Arial" w:cs="Arial"/>
          <w:lang w:val="fr-BE"/>
        </w:rPr>
        <w:t>régions de Bruxelles et Walloni</w:t>
      </w:r>
      <w:r w:rsidR="00BB6744" w:rsidRPr="00F70354">
        <w:rPr>
          <w:rFonts w:ascii="Arial" w:hAnsi="Arial" w:cs="Arial"/>
          <w:lang w:val="fr-BE"/>
        </w:rPr>
        <w:t>e et les années 2019 et 2020.</w:t>
      </w:r>
    </w:p>
    <w:p w14:paraId="5A994EBE" w14:textId="58CC8F9C" w:rsidR="00FE7E93" w:rsidRPr="00F70354" w:rsidRDefault="00191CB4" w:rsidP="00AF39D8">
      <w:pPr>
        <w:jc w:val="both"/>
        <w:rPr>
          <w:rFonts w:ascii="Arial" w:hAnsi="Arial" w:cs="Arial"/>
          <w:lang w:val="fr-BE"/>
        </w:rPr>
      </w:pPr>
      <w:r w:rsidRPr="00F70354">
        <w:rPr>
          <w:rFonts w:ascii="Arial" w:hAnsi="Arial" w:cs="Arial"/>
          <w:lang w:val="fr-BE"/>
        </w:rPr>
        <w:t xml:space="preserve">Dans un premier temps, </w:t>
      </w:r>
      <w:r w:rsidR="00D35762" w:rsidRPr="00F70354">
        <w:rPr>
          <w:rFonts w:ascii="Arial" w:hAnsi="Arial" w:cs="Arial"/>
          <w:lang w:val="fr-BE"/>
        </w:rPr>
        <w:t>nous suivons la mortalité mensuelle en maison de repos</w:t>
      </w:r>
      <w:r w:rsidR="00166097" w:rsidRPr="00F70354">
        <w:rPr>
          <w:rFonts w:ascii="Arial" w:hAnsi="Arial" w:cs="Arial"/>
          <w:lang w:val="fr-BE"/>
        </w:rPr>
        <w:t xml:space="preserve"> en 2019 et 2020</w:t>
      </w:r>
      <w:r w:rsidR="00D35762" w:rsidRPr="00F70354">
        <w:rPr>
          <w:rFonts w:ascii="Arial" w:hAnsi="Arial" w:cs="Arial"/>
          <w:lang w:val="fr-BE"/>
        </w:rPr>
        <w:t>.</w:t>
      </w:r>
      <w:r w:rsidR="00CD72B3" w:rsidRPr="00F70354">
        <w:rPr>
          <w:rFonts w:ascii="Arial" w:hAnsi="Arial" w:cs="Arial"/>
          <w:lang w:val="fr-BE"/>
        </w:rPr>
        <w:t xml:space="preserve"> </w:t>
      </w:r>
      <w:r w:rsidR="00A73C39" w:rsidRPr="00F70354">
        <w:rPr>
          <w:rFonts w:ascii="Arial" w:hAnsi="Arial" w:cs="Arial"/>
          <w:lang w:val="fr-BE"/>
        </w:rPr>
        <w:t>Nous utilisons</w:t>
      </w:r>
      <w:r w:rsidR="00CD72B3" w:rsidRPr="00F70354">
        <w:rPr>
          <w:rFonts w:ascii="Arial" w:hAnsi="Arial" w:cs="Arial"/>
          <w:lang w:val="fr-BE"/>
        </w:rPr>
        <w:t xml:space="preserve"> l’échelle de Katz pour évaluer le profil des décédés. Cette échelle est utilisée pour déterminer le degré de dépendance physique et psychique d’une personne et elle varie de O (les personnes totalement indépendantes physiquement et psychiquement) à Cd (les personnes </w:t>
      </w:r>
      <w:r w:rsidR="00166097" w:rsidRPr="00F70354">
        <w:rPr>
          <w:rFonts w:ascii="Arial" w:hAnsi="Arial" w:cs="Arial"/>
          <w:lang w:val="fr-BE"/>
        </w:rPr>
        <w:t>dépendantes physiquement et souffrant de démence diagnostiquée)</w:t>
      </w:r>
      <w:r w:rsidR="00166097" w:rsidRPr="00F70354">
        <w:rPr>
          <w:rStyle w:val="Appelnotedebasdep"/>
          <w:rFonts w:ascii="Arial" w:hAnsi="Arial" w:cs="Arial"/>
          <w:lang w:val="fr-BE"/>
        </w:rPr>
        <w:footnoteReference w:id="5"/>
      </w:r>
      <w:r w:rsidR="00166097" w:rsidRPr="00F70354">
        <w:rPr>
          <w:rFonts w:ascii="Arial" w:hAnsi="Arial" w:cs="Arial"/>
          <w:lang w:val="fr-BE"/>
        </w:rPr>
        <w:t>.</w:t>
      </w:r>
      <w:r w:rsidR="00FE7E93" w:rsidRPr="00F70354">
        <w:rPr>
          <w:rFonts w:ascii="Arial" w:hAnsi="Arial" w:cs="Arial"/>
          <w:lang w:val="fr-BE"/>
        </w:rPr>
        <w:t> </w:t>
      </w:r>
      <w:r w:rsidR="00AF39D8" w:rsidRPr="00F70354">
        <w:rPr>
          <w:rFonts w:ascii="Arial" w:hAnsi="Arial" w:cs="Arial"/>
          <w:lang w:val="fr-BE"/>
        </w:rPr>
        <w:t xml:space="preserve">Pour </w:t>
      </w:r>
      <w:r w:rsidR="003E4E31" w:rsidRPr="00F70354">
        <w:rPr>
          <w:rFonts w:ascii="Arial" w:hAnsi="Arial" w:cs="Arial"/>
          <w:lang w:val="fr-BE"/>
        </w:rPr>
        <w:t>cet</w:t>
      </w:r>
      <w:r w:rsidR="00AF39D8" w:rsidRPr="00F70354">
        <w:rPr>
          <w:rFonts w:ascii="Arial" w:hAnsi="Arial" w:cs="Arial"/>
          <w:lang w:val="fr-BE"/>
        </w:rPr>
        <w:t xml:space="preserve"> exercice on regroupe ces catégories en 2 profils : les résidents non-dépendants (catégories O et A) et les résidents dépendants (catégories B, C, D, Cd, Cc)</w:t>
      </w:r>
      <w:r w:rsidR="00E82C99" w:rsidRPr="00F70354">
        <w:rPr>
          <w:rStyle w:val="Appelnotedebasdep"/>
          <w:rFonts w:ascii="Arial" w:hAnsi="Arial" w:cs="Arial"/>
          <w:lang w:val="fr-BE"/>
        </w:rPr>
        <w:t xml:space="preserve"> </w:t>
      </w:r>
      <w:r w:rsidR="00E82C99" w:rsidRPr="00F70354">
        <w:rPr>
          <w:rStyle w:val="Appelnotedebasdep"/>
          <w:rFonts w:ascii="Arial" w:hAnsi="Arial" w:cs="Arial"/>
          <w:lang w:val="fr-BE"/>
        </w:rPr>
        <w:footnoteReference w:id="6"/>
      </w:r>
      <w:r w:rsidR="00AF39D8" w:rsidRPr="00F70354">
        <w:rPr>
          <w:rFonts w:ascii="Arial" w:hAnsi="Arial" w:cs="Arial"/>
          <w:lang w:val="fr-BE"/>
        </w:rPr>
        <w:t>.</w:t>
      </w:r>
    </w:p>
    <w:p w14:paraId="2BAA88B0" w14:textId="093B51BF" w:rsidR="00166097" w:rsidRPr="00F70354" w:rsidRDefault="00D35762" w:rsidP="00996212">
      <w:pPr>
        <w:jc w:val="both"/>
        <w:rPr>
          <w:rFonts w:ascii="Arial" w:hAnsi="Arial" w:cs="Arial"/>
          <w:lang w:val="fr-BE"/>
        </w:rPr>
      </w:pPr>
      <w:r w:rsidRPr="00F70354">
        <w:rPr>
          <w:rFonts w:ascii="Arial" w:hAnsi="Arial" w:cs="Arial"/>
          <w:lang w:val="fr-BE"/>
        </w:rPr>
        <w:t xml:space="preserve">Dans un </w:t>
      </w:r>
      <w:r w:rsidR="00276A29" w:rsidRPr="00F70354">
        <w:rPr>
          <w:rFonts w:ascii="Arial" w:hAnsi="Arial" w:cs="Arial"/>
          <w:lang w:val="fr-BE"/>
        </w:rPr>
        <w:t>deuxième</w:t>
      </w:r>
      <w:r w:rsidRPr="00F70354">
        <w:rPr>
          <w:rFonts w:ascii="Arial" w:hAnsi="Arial" w:cs="Arial"/>
          <w:lang w:val="fr-BE"/>
        </w:rPr>
        <w:t xml:space="preserve"> temps, nos analyses portent sur l’évolution du profil </w:t>
      </w:r>
      <w:r w:rsidR="00166097" w:rsidRPr="00F70354">
        <w:rPr>
          <w:rFonts w:ascii="Arial" w:hAnsi="Arial" w:cs="Arial"/>
          <w:lang w:val="fr-BE"/>
        </w:rPr>
        <w:t xml:space="preserve">des nouveaux entrants en maison de repos entre </w:t>
      </w:r>
      <w:r w:rsidR="0093227B" w:rsidRPr="00F70354">
        <w:rPr>
          <w:rFonts w:ascii="Arial" w:hAnsi="Arial" w:cs="Arial"/>
          <w:lang w:val="fr-BE"/>
        </w:rPr>
        <w:t xml:space="preserve">février </w:t>
      </w:r>
      <w:r w:rsidR="00166097" w:rsidRPr="00F70354">
        <w:rPr>
          <w:rFonts w:ascii="Arial" w:hAnsi="Arial" w:cs="Arial"/>
          <w:lang w:val="fr-BE"/>
        </w:rPr>
        <w:t xml:space="preserve">2019 et </w:t>
      </w:r>
      <w:r w:rsidR="0093227B" w:rsidRPr="00F70354">
        <w:rPr>
          <w:rFonts w:ascii="Arial" w:hAnsi="Arial" w:cs="Arial"/>
          <w:lang w:val="fr-BE"/>
        </w:rPr>
        <w:t>fin 2020</w:t>
      </w:r>
      <w:r w:rsidR="00166097" w:rsidRPr="00F70354">
        <w:rPr>
          <w:rFonts w:ascii="Arial" w:hAnsi="Arial" w:cs="Arial"/>
          <w:lang w:val="fr-BE"/>
        </w:rPr>
        <w:t xml:space="preserve">. </w:t>
      </w:r>
      <w:r w:rsidR="00A73C39" w:rsidRPr="00F70354">
        <w:rPr>
          <w:rFonts w:ascii="Arial" w:hAnsi="Arial" w:cs="Arial"/>
          <w:lang w:val="fr-BE"/>
        </w:rPr>
        <w:t>Nous</w:t>
      </w:r>
      <w:r w:rsidR="00166097" w:rsidRPr="00F70354">
        <w:rPr>
          <w:rFonts w:ascii="Arial" w:hAnsi="Arial" w:cs="Arial"/>
          <w:lang w:val="fr-BE"/>
        </w:rPr>
        <w:t xml:space="preserve"> </w:t>
      </w:r>
      <w:r w:rsidR="00A73C39" w:rsidRPr="00F70354">
        <w:rPr>
          <w:rFonts w:ascii="Arial" w:hAnsi="Arial" w:cs="Arial"/>
          <w:lang w:val="fr-BE"/>
        </w:rPr>
        <w:t>utilisons</w:t>
      </w:r>
      <w:r w:rsidR="00166097" w:rsidRPr="00F70354">
        <w:rPr>
          <w:rFonts w:ascii="Arial" w:hAnsi="Arial" w:cs="Arial"/>
          <w:lang w:val="fr-BE"/>
        </w:rPr>
        <w:t xml:space="preserve"> ici aussi le degré de dépendance</w:t>
      </w:r>
      <w:r w:rsidR="00A73C39" w:rsidRPr="00F70354">
        <w:rPr>
          <w:rFonts w:ascii="Arial" w:hAnsi="Arial" w:cs="Arial"/>
          <w:lang w:val="fr-BE"/>
        </w:rPr>
        <w:t xml:space="preserve"> des nouveaux résidents </w:t>
      </w:r>
      <w:r w:rsidR="00166097" w:rsidRPr="00F70354">
        <w:rPr>
          <w:rFonts w:ascii="Arial" w:hAnsi="Arial" w:cs="Arial"/>
          <w:lang w:val="fr-BE"/>
        </w:rPr>
        <w:t>pour caractériser notre population.</w:t>
      </w:r>
      <w:r w:rsidR="006A54B4" w:rsidRPr="00F70354">
        <w:rPr>
          <w:rFonts w:ascii="Arial" w:hAnsi="Arial" w:cs="Arial"/>
          <w:lang w:val="fr-BE"/>
        </w:rPr>
        <w:t xml:space="preserve"> </w:t>
      </w:r>
    </w:p>
    <w:p w14:paraId="3C519541" w14:textId="7BF3454C" w:rsidR="002A4E05" w:rsidRPr="00F70354" w:rsidRDefault="00D35762" w:rsidP="00996212">
      <w:pPr>
        <w:jc w:val="both"/>
        <w:rPr>
          <w:rFonts w:ascii="Arial" w:hAnsi="Arial" w:cs="Arial"/>
          <w:lang w:val="fr-BE"/>
        </w:rPr>
      </w:pPr>
      <w:r w:rsidRPr="00F70354">
        <w:rPr>
          <w:rFonts w:ascii="Arial" w:hAnsi="Arial" w:cs="Arial"/>
          <w:lang w:val="fr-BE"/>
        </w:rPr>
        <w:lastRenderedPageBreak/>
        <w:t xml:space="preserve">Dans un troisième temps, </w:t>
      </w:r>
      <w:r w:rsidR="00191CB4" w:rsidRPr="00F70354">
        <w:rPr>
          <w:rFonts w:ascii="Arial" w:hAnsi="Arial" w:cs="Arial"/>
          <w:lang w:val="fr-BE"/>
        </w:rPr>
        <w:t xml:space="preserve">nous nous intéressons </w:t>
      </w:r>
      <w:r w:rsidR="00113B40" w:rsidRPr="00F70354">
        <w:rPr>
          <w:rFonts w:ascii="Arial" w:hAnsi="Arial" w:cs="Arial"/>
          <w:lang w:val="fr-BE"/>
        </w:rPr>
        <w:t>à</w:t>
      </w:r>
      <w:r w:rsidR="00191CB4" w:rsidRPr="00F70354">
        <w:rPr>
          <w:rFonts w:ascii="Arial" w:hAnsi="Arial" w:cs="Arial"/>
          <w:lang w:val="fr-BE"/>
        </w:rPr>
        <w:t xml:space="preserve"> </w:t>
      </w:r>
      <w:r w:rsidR="00113B40" w:rsidRPr="00F70354">
        <w:rPr>
          <w:rFonts w:ascii="Arial" w:hAnsi="Arial" w:cs="Arial"/>
          <w:lang w:val="fr-BE"/>
        </w:rPr>
        <w:t xml:space="preserve">l’évolution </w:t>
      </w:r>
      <w:r w:rsidR="00140719" w:rsidRPr="00F70354">
        <w:rPr>
          <w:rFonts w:ascii="Arial" w:hAnsi="Arial" w:cs="Arial"/>
          <w:lang w:val="fr-BE"/>
        </w:rPr>
        <w:t xml:space="preserve">de la proportion de personnes (hyper)polymédiquées et </w:t>
      </w:r>
      <w:r w:rsidR="00113B40" w:rsidRPr="00F70354">
        <w:rPr>
          <w:rFonts w:ascii="Arial" w:hAnsi="Arial" w:cs="Arial"/>
          <w:lang w:val="fr-BE"/>
        </w:rPr>
        <w:t xml:space="preserve">du </w:t>
      </w:r>
      <w:r w:rsidR="00191CB4" w:rsidRPr="00F70354">
        <w:rPr>
          <w:rFonts w:ascii="Arial" w:hAnsi="Arial" w:cs="Arial"/>
          <w:lang w:val="fr-BE"/>
        </w:rPr>
        <w:t>nombre de médicaments différents (moyenne et médiane) utilisés par les résidents en maison de repos (selon le lieu d’implantation)</w:t>
      </w:r>
      <w:r w:rsidR="005B4F47" w:rsidRPr="00F70354">
        <w:rPr>
          <w:rFonts w:ascii="Arial" w:hAnsi="Arial" w:cs="Arial"/>
          <w:lang w:val="fr-BE"/>
        </w:rPr>
        <w:t xml:space="preserve"> entre les années 2013 et 2020</w:t>
      </w:r>
      <w:r w:rsidR="00191CB4" w:rsidRPr="00F70354">
        <w:rPr>
          <w:rFonts w:ascii="Arial" w:hAnsi="Arial" w:cs="Arial"/>
          <w:lang w:val="fr-BE"/>
        </w:rPr>
        <w:t xml:space="preserve">. </w:t>
      </w:r>
      <w:r w:rsidRPr="00F70354">
        <w:rPr>
          <w:rFonts w:ascii="Arial" w:hAnsi="Arial" w:cs="Arial"/>
          <w:lang w:val="fr-BE"/>
        </w:rPr>
        <w:t>N</w:t>
      </w:r>
      <w:r w:rsidR="00113B40" w:rsidRPr="00F70354">
        <w:rPr>
          <w:rFonts w:ascii="Arial" w:hAnsi="Arial" w:cs="Arial"/>
          <w:lang w:val="fr-BE"/>
        </w:rPr>
        <w:t xml:space="preserve">ous analysons </w:t>
      </w:r>
      <w:r w:rsidR="00276A29" w:rsidRPr="00F70354">
        <w:rPr>
          <w:rFonts w:ascii="Arial" w:hAnsi="Arial" w:cs="Arial"/>
          <w:lang w:val="fr-BE"/>
        </w:rPr>
        <w:t>enfin</w:t>
      </w:r>
      <w:r w:rsidRPr="00F70354">
        <w:rPr>
          <w:rFonts w:ascii="Arial" w:hAnsi="Arial" w:cs="Arial"/>
          <w:lang w:val="fr-BE"/>
        </w:rPr>
        <w:t xml:space="preserve"> </w:t>
      </w:r>
      <w:r w:rsidR="00113B40" w:rsidRPr="00F70354">
        <w:rPr>
          <w:rFonts w:ascii="Arial" w:hAnsi="Arial" w:cs="Arial"/>
          <w:lang w:val="fr-BE"/>
        </w:rPr>
        <w:t xml:space="preserve">l’évolution de la proportion d’utilisateurs d’antidépresseurs et d’antipsychotiques parmi les résidents en maison </w:t>
      </w:r>
      <w:r w:rsidR="00117EFA" w:rsidRPr="00F70354">
        <w:rPr>
          <w:rFonts w:ascii="Arial" w:hAnsi="Arial" w:cs="Arial"/>
          <w:lang w:val="fr-BE"/>
        </w:rPr>
        <w:t xml:space="preserve">de </w:t>
      </w:r>
      <w:r w:rsidR="00113B40" w:rsidRPr="00F70354">
        <w:rPr>
          <w:rFonts w:ascii="Arial" w:hAnsi="Arial" w:cs="Arial"/>
          <w:lang w:val="fr-BE"/>
        </w:rPr>
        <w:t>repos (</w:t>
      </w:r>
      <w:r w:rsidR="00754688" w:rsidRPr="00F70354">
        <w:rPr>
          <w:rFonts w:ascii="Arial" w:hAnsi="Arial" w:cs="Arial"/>
          <w:lang w:val="fr-BE"/>
        </w:rPr>
        <w:t xml:space="preserve">également </w:t>
      </w:r>
      <w:r w:rsidR="00113B40" w:rsidRPr="00F70354">
        <w:rPr>
          <w:rFonts w:ascii="Arial" w:hAnsi="Arial" w:cs="Arial"/>
          <w:lang w:val="fr-BE"/>
        </w:rPr>
        <w:t>selon le lieu d’implantation)</w:t>
      </w:r>
      <w:r w:rsidR="005B4F47" w:rsidRPr="00F70354">
        <w:rPr>
          <w:rFonts w:ascii="Arial" w:hAnsi="Arial" w:cs="Arial"/>
          <w:lang w:val="fr-BE"/>
        </w:rPr>
        <w:t xml:space="preserve"> entre les années 2013 et 2020</w:t>
      </w:r>
      <w:r w:rsidR="00113B40" w:rsidRPr="00F70354">
        <w:rPr>
          <w:rFonts w:ascii="Arial" w:hAnsi="Arial" w:cs="Arial"/>
          <w:lang w:val="fr-BE"/>
        </w:rPr>
        <w:t>.</w:t>
      </w:r>
    </w:p>
    <w:p w14:paraId="167A80AC" w14:textId="77777777" w:rsidR="00F70354" w:rsidRDefault="00F70354" w:rsidP="00DE11C6">
      <w:pPr>
        <w:spacing w:after="0"/>
        <w:rPr>
          <w:rFonts w:ascii="Arial" w:hAnsi="Arial" w:cs="Arial"/>
          <w:lang w:val="fr-BE"/>
        </w:rPr>
      </w:pPr>
    </w:p>
    <w:p w14:paraId="76A206AF" w14:textId="7ACC9B9B" w:rsidR="00D35762" w:rsidRPr="00F70354" w:rsidRDefault="00CD72B3" w:rsidP="00DE11C6">
      <w:pPr>
        <w:spacing w:after="0"/>
        <w:rPr>
          <w:rFonts w:ascii="Arial" w:hAnsi="Arial" w:cs="Arial"/>
          <w:b/>
          <w:color w:val="404040" w:themeColor="text1" w:themeTint="BF"/>
          <w:sz w:val="26"/>
          <w:szCs w:val="26"/>
          <w:lang w:val="fr-FR"/>
        </w:rPr>
      </w:pPr>
      <w:r w:rsidRPr="00F70354">
        <w:rPr>
          <w:rFonts w:ascii="Arial" w:hAnsi="Arial" w:cs="Arial"/>
          <w:b/>
          <w:color w:val="404040" w:themeColor="text1" w:themeTint="BF"/>
          <w:sz w:val="26"/>
          <w:szCs w:val="26"/>
          <w:lang w:val="fr-FR"/>
        </w:rPr>
        <w:t>Mortalité en maison de repos</w:t>
      </w:r>
    </w:p>
    <w:p w14:paraId="5DDBA3EC" w14:textId="77777777" w:rsidR="00AD6034" w:rsidRPr="00F70354" w:rsidRDefault="00AD6034" w:rsidP="00DE11C6">
      <w:pPr>
        <w:spacing w:after="0"/>
        <w:rPr>
          <w:rFonts w:ascii="Arial" w:hAnsi="Arial" w:cs="Arial"/>
          <w:lang w:val="fr-BE"/>
        </w:rPr>
      </w:pPr>
    </w:p>
    <w:p w14:paraId="59E15A1C" w14:textId="14F010A2" w:rsidR="00011C03" w:rsidRPr="00F70354" w:rsidRDefault="006E00EF" w:rsidP="00996212">
      <w:pPr>
        <w:spacing w:after="100" w:afterAutospacing="1"/>
        <w:jc w:val="both"/>
        <w:rPr>
          <w:rFonts w:ascii="Arial" w:hAnsi="Arial" w:cs="Arial"/>
          <w:lang w:val="fr-BE"/>
        </w:rPr>
      </w:pPr>
      <w:r w:rsidRPr="00F70354">
        <w:rPr>
          <w:rFonts w:ascii="Arial" w:hAnsi="Arial" w:cs="Arial"/>
          <w:lang w:val="fr-BE"/>
        </w:rPr>
        <w:t>Le nombre de décès a été anormalement élevé lors des deux vagues de la pandémie dans les maisons de repos de Bruxelles et de Wallonie, mais la première</w:t>
      </w:r>
      <w:r w:rsidR="00BB6744" w:rsidRPr="00F70354">
        <w:rPr>
          <w:rFonts w:ascii="Arial" w:hAnsi="Arial" w:cs="Arial"/>
          <w:lang w:val="fr-BE"/>
        </w:rPr>
        <w:t xml:space="preserve"> vague</w:t>
      </w:r>
      <w:r w:rsidRPr="00F70354">
        <w:rPr>
          <w:rFonts w:ascii="Arial" w:hAnsi="Arial" w:cs="Arial"/>
          <w:lang w:val="fr-BE"/>
        </w:rPr>
        <w:t xml:space="preserve"> a été beaucoup plus mortelle. En 2020, nous comptons </w:t>
      </w:r>
      <w:r w:rsidR="001B0D61" w:rsidRPr="00F70354">
        <w:rPr>
          <w:rFonts w:ascii="Arial" w:hAnsi="Arial" w:cs="Arial"/>
          <w:lang w:val="fr-BE"/>
        </w:rPr>
        <w:t xml:space="preserve">un tiers </w:t>
      </w:r>
      <w:r w:rsidRPr="00F70354">
        <w:rPr>
          <w:rFonts w:ascii="Arial" w:hAnsi="Arial" w:cs="Arial"/>
          <w:lang w:val="fr-BE"/>
        </w:rPr>
        <w:t>de décès en plus par rapport à 2019</w:t>
      </w:r>
      <w:r w:rsidR="00EE1472" w:rsidRPr="00F70354">
        <w:rPr>
          <w:rFonts w:ascii="Arial" w:hAnsi="Arial" w:cs="Arial"/>
          <w:lang w:val="fr-BE"/>
        </w:rPr>
        <w:t xml:space="preserve"> dans</w:t>
      </w:r>
      <w:r w:rsidR="001B0D61" w:rsidRPr="00F70354">
        <w:rPr>
          <w:rFonts w:ascii="Arial" w:hAnsi="Arial" w:cs="Arial"/>
          <w:lang w:val="fr-BE"/>
        </w:rPr>
        <w:t xml:space="preserve"> les maisons de repos de</w:t>
      </w:r>
      <w:r w:rsidR="00EE1472" w:rsidRPr="00F70354">
        <w:rPr>
          <w:rFonts w:ascii="Arial" w:hAnsi="Arial" w:cs="Arial"/>
          <w:lang w:val="fr-BE"/>
        </w:rPr>
        <w:t xml:space="preserve"> ces deux </w:t>
      </w:r>
      <w:r w:rsidR="003E4E31" w:rsidRPr="00F70354">
        <w:rPr>
          <w:rFonts w:ascii="Arial" w:hAnsi="Arial" w:cs="Arial"/>
          <w:lang w:val="fr-BE"/>
        </w:rPr>
        <w:t>régions :</w:t>
      </w:r>
      <w:r w:rsidR="006A1A39" w:rsidRPr="00F70354">
        <w:rPr>
          <w:rFonts w:ascii="Arial" w:hAnsi="Arial" w:cs="Arial"/>
          <w:lang w:val="fr-BE"/>
        </w:rPr>
        <w:t xml:space="preserve"> </w:t>
      </w:r>
      <w:r w:rsidR="001B0D61" w:rsidRPr="00F70354">
        <w:rPr>
          <w:rFonts w:ascii="Arial" w:hAnsi="Arial" w:cs="Arial"/>
          <w:lang w:val="fr-BE"/>
        </w:rPr>
        <w:t>+39% de décès à Bruxelles et +31% en Wallonie</w:t>
      </w:r>
      <w:r w:rsidRPr="00F70354">
        <w:rPr>
          <w:rFonts w:ascii="Arial" w:hAnsi="Arial" w:cs="Arial"/>
          <w:lang w:val="fr-BE"/>
        </w:rPr>
        <w:t>.</w:t>
      </w:r>
      <w:r w:rsidR="00011C03" w:rsidRPr="00F70354">
        <w:rPr>
          <w:rFonts w:ascii="Arial" w:hAnsi="Arial" w:cs="Arial"/>
          <w:lang w:val="fr-BE"/>
        </w:rPr>
        <w:t xml:space="preserve"> </w:t>
      </w:r>
    </w:p>
    <w:p w14:paraId="1A691136" w14:textId="4B7A955C" w:rsidR="00491C99" w:rsidRPr="00F70354" w:rsidRDefault="00491C99" w:rsidP="00996212">
      <w:pPr>
        <w:spacing w:after="100" w:afterAutospacing="1"/>
        <w:jc w:val="both"/>
        <w:rPr>
          <w:rFonts w:ascii="Arial" w:hAnsi="Arial" w:cs="Arial"/>
          <w:lang w:val="fr-BE"/>
        </w:rPr>
      </w:pPr>
      <w:r w:rsidRPr="00F70354">
        <w:rPr>
          <w:rFonts w:ascii="Arial" w:hAnsi="Arial" w:cs="Arial"/>
          <w:lang w:val="fr-BE"/>
        </w:rPr>
        <w:t>La figure 1 montre</w:t>
      </w:r>
      <w:r w:rsidR="003C5414" w:rsidRPr="00F70354">
        <w:rPr>
          <w:rFonts w:ascii="Arial" w:hAnsi="Arial" w:cs="Arial"/>
          <w:lang w:val="fr-BE"/>
        </w:rPr>
        <w:t xml:space="preserve"> le nombre de décès, et les taux de mortalité</w:t>
      </w:r>
      <w:r w:rsidR="009E2073" w:rsidRPr="00F70354">
        <w:rPr>
          <w:rFonts w:ascii="Arial" w:hAnsi="Arial" w:cs="Arial"/>
          <w:lang w:val="fr-BE"/>
        </w:rPr>
        <w:t xml:space="preserve"> mensuels</w:t>
      </w:r>
      <w:r w:rsidR="0093227B" w:rsidRPr="00F70354">
        <w:rPr>
          <w:rFonts w:ascii="Arial" w:hAnsi="Arial" w:cs="Arial"/>
          <w:lang w:val="fr-BE"/>
        </w:rPr>
        <w:t xml:space="preserve"> (en pourcentages),</w:t>
      </w:r>
      <w:r w:rsidR="003C5414" w:rsidRPr="00F70354">
        <w:rPr>
          <w:rFonts w:ascii="Arial" w:hAnsi="Arial" w:cs="Arial"/>
          <w:lang w:val="fr-BE"/>
        </w:rPr>
        <w:t xml:space="preserve"> </w:t>
      </w:r>
      <w:r w:rsidR="0093227B" w:rsidRPr="00F70354">
        <w:rPr>
          <w:rFonts w:ascii="Arial" w:hAnsi="Arial" w:cs="Arial"/>
          <w:lang w:val="fr-BE"/>
        </w:rPr>
        <w:t>en</w:t>
      </w:r>
      <w:r w:rsidR="003C5414" w:rsidRPr="00F70354">
        <w:rPr>
          <w:rFonts w:ascii="Arial" w:hAnsi="Arial" w:cs="Arial"/>
          <w:lang w:val="fr-BE"/>
        </w:rPr>
        <w:t xml:space="preserve"> maison de repos</w:t>
      </w:r>
      <w:r w:rsidR="0093227B" w:rsidRPr="00F70354">
        <w:rPr>
          <w:rFonts w:ascii="Arial" w:hAnsi="Arial" w:cs="Arial"/>
          <w:lang w:val="fr-BE"/>
        </w:rPr>
        <w:t xml:space="preserve"> </w:t>
      </w:r>
      <w:r w:rsidR="003C5414" w:rsidRPr="00F70354">
        <w:rPr>
          <w:rFonts w:ascii="Arial" w:hAnsi="Arial" w:cs="Arial"/>
          <w:lang w:val="fr-BE"/>
        </w:rPr>
        <w:t xml:space="preserve"> selon le profil de dépendance en 2019 et 2020. </w:t>
      </w:r>
      <w:r w:rsidR="0093227B" w:rsidRPr="00F70354">
        <w:rPr>
          <w:rFonts w:ascii="Arial" w:hAnsi="Arial" w:cs="Arial"/>
          <w:lang w:val="fr-BE"/>
        </w:rPr>
        <w:t>Premièrement, nous constatons</w:t>
      </w:r>
      <w:r w:rsidRPr="00F70354">
        <w:rPr>
          <w:rFonts w:ascii="Arial" w:hAnsi="Arial" w:cs="Arial"/>
          <w:lang w:val="fr-BE"/>
        </w:rPr>
        <w:t xml:space="preserve"> une surmortalité </w:t>
      </w:r>
      <w:r w:rsidR="0093227B" w:rsidRPr="00F70354">
        <w:rPr>
          <w:rFonts w:ascii="Arial" w:hAnsi="Arial" w:cs="Arial"/>
          <w:lang w:val="fr-BE"/>
        </w:rPr>
        <w:t xml:space="preserve">importante </w:t>
      </w:r>
      <w:r w:rsidRPr="00F70354">
        <w:rPr>
          <w:rFonts w:ascii="Arial" w:hAnsi="Arial" w:cs="Arial"/>
          <w:lang w:val="fr-BE"/>
        </w:rPr>
        <w:t>lors des deux vagues de la pandémie de Covid-19 (plus particulièrement aux mois de mars et novembre 2020 qui sont les pics de l’épidémie)</w:t>
      </w:r>
      <w:r w:rsidR="0093227B" w:rsidRPr="00F70354">
        <w:rPr>
          <w:rFonts w:ascii="Arial" w:hAnsi="Arial" w:cs="Arial"/>
          <w:lang w:val="fr-BE"/>
        </w:rPr>
        <w:t> : e</w:t>
      </w:r>
      <w:r w:rsidRPr="00F70354">
        <w:rPr>
          <w:rFonts w:ascii="Arial" w:hAnsi="Arial" w:cs="Arial"/>
          <w:lang w:val="fr-BE"/>
        </w:rPr>
        <w:t>n avril 2020, le nombre de décès a été</w:t>
      </w:r>
      <w:r w:rsidR="001B0D61" w:rsidRPr="00F70354">
        <w:rPr>
          <w:rFonts w:ascii="Arial" w:hAnsi="Arial" w:cs="Arial"/>
          <w:lang w:val="fr-BE"/>
        </w:rPr>
        <w:t xml:space="preserve"> plus de</w:t>
      </w:r>
      <w:r w:rsidRPr="00F70354">
        <w:rPr>
          <w:rFonts w:ascii="Arial" w:hAnsi="Arial" w:cs="Arial"/>
          <w:lang w:val="fr-BE"/>
        </w:rPr>
        <w:t xml:space="preserve"> 3 fois supérieur à Bruxelles par rapport à 2019 et 2,5 fois supérieur en Wallonie.</w:t>
      </w:r>
      <w:r w:rsidR="00DA3487" w:rsidRPr="00F70354">
        <w:rPr>
          <w:rFonts w:ascii="Arial" w:hAnsi="Arial" w:cs="Arial"/>
          <w:lang w:val="fr-BE"/>
        </w:rPr>
        <w:t xml:space="preserve"> En novembre 2020, il a été 2 fois supérieur à Bruxelles et en Wallonie par rapport à 2019.</w:t>
      </w:r>
      <w:r w:rsidR="0093227B" w:rsidRPr="00F70354">
        <w:rPr>
          <w:rFonts w:ascii="Arial" w:hAnsi="Arial" w:cs="Arial"/>
          <w:lang w:val="fr-BE"/>
        </w:rPr>
        <w:t xml:space="preserve"> Cette</w:t>
      </w:r>
      <w:r w:rsidR="003C5414" w:rsidRPr="00F70354">
        <w:rPr>
          <w:rFonts w:ascii="Arial" w:hAnsi="Arial" w:cs="Arial"/>
          <w:lang w:val="fr-BE"/>
        </w:rPr>
        <w:t xml:space="preserve"> surmortalité excessive se montre aussi dans les taux de mortalité :</w:t>
      </w:r>
      <w:r w:rsidR="00DA3487" w:rsidRPr="00F70354">
        <w:rPr>
          <w:rFonts w:ascii="Arial" w:hAnsi="Arial" w:cs="Arial"/>
          <w:lang w:val="fr-BE"/>
        </w:rPr>
        <w:t xml:space="preserve"> </w:t>
      </w:r>
      <w:r w:rsidR="003C5414" w:rsidRPr="00F70354">
        <w:rPr>
          <w:rFonts w:ascii="Arial" w:hAnsi="Arial" w:cs="Arial"/>
          <w:lang w:val="fr-BE"/>
        </w:rPr>
        <w:t xml:space="preserve">pendant les </w:t>
      </w:r>
      <w:r w:rsidR="0093227B" w:rsidRPr="00F70354">
        <w:rPr>
          <w:rFonts w:ascii="Arial" w:hAnsi="Arial" w:cs="Arial"/>
          <w:lang w:val="fr-BE"/>
        </w:rPr>
        <w:t>deux</w:t>
      </w:r>
      <w:r w:rsidR="003C5414" w:rsidRPr="00F70354">
        <w:rPr>
          <w:rFonts w:ascii="Arial" w:hAnsi="Arial" w:cs="Arial"/>
          <w:lang w:val="fr-BE"/>
        </w:rPr>
        <w:t xml:space="preserve"> vagues les taux de mortalité mensuels étaient largement supérieurs aux taux observés avant ou après. </w:t>
      </w:r>
      <w:r w:rsidR="00531C1C" w:rsidRPr="00F70354">
        <w:rPr>
          <w:rFonts w:ascii="Arial" w:hAnsi="Arial" w:cs="Arial"/>
          <w:lang w:val="fr-BE"/>
        </w:rPr>
        <w:t xml:space="preserve">En 2020 les taux de mortalité des dépendants et non-dépendants étaient alors considérablement supérieurs aux taux de 2019 : respectivement 3,5% et 0,9% vs. 2,6% et 0,6%. </w:t>
      </w:r>
      <w:r w:rsidR="00E82C99" w:rsidRPr="00F70354">
        <w:rPr>
          <w:rFonts w:ascii="Arial" w:hAnsi="Arial" w:cs="Arial"/>
          <w:lang w:val="fr-BE"/>
        </w:rPr>
        <w:t xml:space="preserve">Les différences entre Bruxelles et Wallonie dans les taux de mortalité en 2020 sont petites mais Bruxelles connaissait un taux de mortalité des non-dépendants plus bas que la Wallonie en 2019 : 0,5% vs. 0,7%. </w:t>
      </w:r>
      <w:r w:rsidR="00DA3487" w:rsidRPr="00F70354">
        <w:rPr>
          <w:rFonts w:ascii="Arial" w:hAnsi="Arial" w:cs="Arial"/>
          <w:lang w:val="fr-BE"/>
        </w:rPr>
        <w:t xml:space="preserve">Notons que la surmortalité élevée en maison de repos a été observée plus tôt à Bruxelles (avec une hausse du nombre de décès de </w:t>
      </w:r>
      <w:r w:rsidR="001B0D61" w:rsidRPr="00F70354">
        <w:rPr>
          <w:rFonts w:ascii="Arial" w:hAnsi="Arial" w:cs="Arial"/>
          <w:lang w:val="fr-BE"/>
        </w:rPr>
        <w:t>85</w:t>
      </w:r>
      <w:r w:rsidR="00117EFA" w:rsidRPr="00F70354">
        <w:rPr>
          <w:rFonts w:ascii="Arial" w:hAnsi="Arial" w:cs="Arial"/>
          <w:lang w:val="fr-BE"/>
        </w:rPr>
        <w:t> </w:t>
      </w:r>
      <w:r w:rsidR="00DA3487" w:rsidRPr="00F70354">
        <w:rPr>
          <w:rFonts w:ascii="Arial" w:hAnsi="Arial" w:cs="Arial"/>
          <w:lang w:val="fr-BE"/>
        </w:rPr>
        <w:t xml:space="preserve">% en mars 2020 par rapport à 2019) qu’en Wallonie où la hausse est limitée à </w:t>
      </w:r>
      <w:r w:rsidR="001B0D61" w:rsidRPr="00F70354">
        <w:rPr>
          <w:rFonts w:ascii="Arial" w:hAnsi="Arial" w:cs="Arial"/>
          <w:lang w:val="fr-BE"/>
        </w:rPr>
        <w:t>13</w:t>
      </w:r>
      <w:r w:rsidR="00117EFA" w:rsidRPr="00F70354">
        <w:rPr>
          <w:rFonts w:ascii="Arial" w:hAnsi="Arial" w:cs="Arial"/>
          <w:lang w:val="fr-BE"/>
        </w:rPr>
        <w:t> </w:t>
      </w:r>
      <w:r w:rsidR="00DA3487" w:rsidRPr="00F70354">
        <w:rPr>
          <w:rFonts w:ascii="Arial" w:hAnsi="Arial" w:cs="Arial"/>
          <w:lang w:val="fr-BE"/>
        </w:rPr>
        <w:t>%.</w:t>
      </w:r>
      <w:r w:rsidR="001B0D61" w:rsidRPr="00F70354">
        <w:rPr>
          <w:rFonts w:ascii="Arial" w:hAnsi="Arial" w:cs="Arial"/>
          <w:lang w:val="fr-BE"/>
        </w:rPr>
        <w:t xml:space="preserve"> La deuxième vague se présentait déjà en octobre en Wallonie (avec une hausse du nombre de décès de 50 % en octobre 2020 par rapport à 2019) mais seulement en novembre à Bruxelles.</w:t>
      </w:r>
    </w:p>
    <w:p w14:paraId="3C115DDF" w14:textId="4188CF69" w:rsidR="001B0D61" w:rsidRPr="00F70354" w:rsidRDefault="007A70BF" w:rsidP="00996212">
      <w:pPr>
        <w:spacing w:after="100" w:afterAutospacing="1"/>
        <w:jc w:val="both"/>
        <w:rPr>
          <w:rFonts w:ascii="Arial" w:hAnsi="Arial" w:cs="Arial"/>
          <w:lang w:val="fr-BE"/>
        </w:rPr>
      </w:pPr>
      <w:r w:rsidRPr="00F70354">
        <w:rPr>
          <w:rFonts w:ascii="Arial" w:hAnsi="Arial" w:cs="Arial"/>
          <w:lang w:val="fr-BE"/>
        </w:rPr>
        <w:t xml:space="preserve">La figure </w:t>
      </w:r>
      <w:r w:rsidR="001B0D61" w:rsidRPr="00F70354">
        <w:rPr>
          <w:rFonts w:ascii="Arial" w:hAnsi="Arial" w:cs="Arial"/>
          <w:lang w:val="fr-BE"/>
        </w:rPr>
        <w:t>1</w:t>
      </w:r>
      <w:r w:rsidRPr="00F70354">
        <w:rPr>
          <w:rFonts w:ascii="Arial" w:hAnsi="Arial" w:cs="Arial"/>
          <w:lang w:val="fr-BE"/>
        </w:rPr>
        <w:t xml:space="preserve"> montre </w:t>
      </w:r>
      <w:r w:rsidR="001B0D61" w:rsidRPr="00F70354">
        <w:rPr>
          <w:rFonts w:ascii="Arial" w:hAnsi="Arial" w:cs="Arial"/>
          <w:lang w:val="fr-BE"/>
        </w:rPr>
        <w:t xml:space="preserve">également </w:t>
      </w:r>
      <w:r w:rsidRPr="00F70354">
        <w:rPr>
          <w:rFonts w:ascii="Arial" w:hAnsi="Arial" w:cs="Arial"/>
          <w:lang w:val="fr-BE"/>
        </w:rPr>
        <w:t>le</w:t>
      </w:r>
      <w:r w:rsidR="00F47254" w:rsidRPr="00F70354">
        <w:rPr>
          <w:rFonts w:ascii="Arial" w:hAnsi="Arial" w:cs="Arial"/>
          <w:lang w:val="fr-BE"/>
        </w:rPr>
        <w:t xml:space="preserve"> nombre de déc</w:t>
      </w:r>
      <w:r w:rsidR="003C5414" w:rsidRPr="00F70354">
        <w:rPr>
          <w:rFonts w:ascii="Arial" w:hAnsi="Arial" w:cs="Arial"/>
          <w:lang w:val="fr-BE"/>
        </w:rPr>
        <w:t>ès</w:t>
      </w:r>
      <w:r w:rsidR="00C2672C" w:rsidRPr="00F70354">
        <w:rPr>
          <w:rFonts w:ascii="Arial" w:hAnsi="Arial" w:cs="Arial"/>
          <w:lang w:val="fr-BE"/>
        </w:rPr>
        <w:t xml:space="preserve"> selon le</w:t>
      </w:r>
      <w:r w:rsidRPr="00F70354">
        <w:rPr>
          <w:rFonts w:ascii="Arial" w:hAnsi="Arial" w:cs="Arial"/>
          <w:lang w:val="fr-BE"/>
        </w:rPr>
        <w:t xml:space="preserve"> profil </w:t>
      </w:r>
      <w:r w:rsidR="00C2672C" w:rsidRPr="00F70354">
        <w:rPr>
          <w:rFonts w:ascii="Arial" w:hAnsi="Arial" w:cs="Arial"/>
          <w:lang w:val="fr-BE"/>
        </w:rPr>
        <w:t>de dépendance. O</w:t>
      </w:r>
      <w:r w:rsidRPr="00F70354">
        <w:rPr>
          <w:rFonts w:ascii="Arial" w:hAnsi="Arial" w:cs="Arial"/>
          <w:lang w:val="fr-BE"/>
        </w:rPr>
        <w:t>n</w:t>
      </w:r>
      <w:r w:rsidR="001B0D61" w:rsidRPr="00F70354">
        <w:rPr>
          <w:rFonts w:ascii="Arial" w:hAnsi="Arial" w:cs="Arial"/>
          <w:lang w:val="fr-BE"/>
        </w:rPr>
        <w:t xml:space="preserve"> observe que la surmortalité a touché </w:t>
      </w:r>
      <w:r w:rsidR="00C2672C" w:rsidRPr="00F70354">
        <w:rPr>
          <w:rFonts w:ascii="Arial" w:hAnsi="Arial" w:cs="Arial"/>
          <w:lang w:val="fr-BE"/>
        </w:rPr>
        <w:t>aussi</w:t>
      </w:r>
      <w:r w:rsidR="003B7E10" w:rsidRPr="00F70354">
        <w:rPr>
          <w:rFonts w:ascii="Arial" w:hAnsi="Arial" w:cs="Arial"/>
          <w:lang w:val="fr-BE"/>
        </w:rPr>
        <w:t xml:space="preserve"> fort</w:t>
      </w:r>
      <w:r w:rsidR="00C2672C" w:rsidRPr="00F70354">
        <w:rPr>
          <w:rFonts w:ascii="Arial" w:hAnsi="Arial" w:cs="Arial"/>
          <w:lang w:val="fr-BE"/>
        </w:rPr>
        <w:t xml:space="preserve"> </w:t>
      </w:r>
      <w:r w:rsidR="001B0D61" w:rsidRPr="00F70354">
        <w:rPr>
          <w:rFonts w:ascii="Arial" w:hAnsi="Arial" w:cs="Arial"/>
          <w:lang w:val="fr-BE"/>
        </w:rPr>
        <w:t xml:space="preserve">les résidents dépendants </w:t>
      </w:r>
      <w:r w:rsidR="00C2672C" w:rsidRPr="00F70354">
        <w:rPr>
          <w:rFonts w:ascii="Arial" w:hAnsi="Arial" w:cs="Arial"/>
          <w:lang w:val="fr-BE"/>
        </w:rPr>
        <w:t>que les</w:t>
      </w:r>
      <w:r w:rsidR="001B0D61" w:rsidRPr="00F70354">
        <w:rPr>
          <w:rFonts w:ascii="Arial" w:hAnsi="Arial" w:cs="Arial"/>
          <w:lang w:val="fr-BE"/>
        </w:rPr>
        <w:t xml:space="preserve"> non-dépendants : la surmortalité pour les </w:t>
      </w:r>
      <w:r w:rsidR="003B7E10" w:rsidRPr="00F70354">
        <w:rPr>
          <w:rFonts w:ascii="Arial" w:hAnsi="Arial" w:cs="Arial"/>
          <w:lang w:val="fr-BE"/>
        </w:rPr>
        <w:t>résidents</w:t>
      </w:r>
      <w:r w:rsidR="001B0D61" w:rsidRPr="00F70354">
        <w:rPr>
          <w:rFonts w:ascii="Arial" w:hAnsi="Arial" w:cs="Arial"/>
          <w:lang w:val="fr-BE"/>
        </w:rPr>
        <w:t xml:space="preserve"> non-dépendants en 2020 était de 32% or que la surmortalité des </w:t>
      </w:r>
      <w:r w:rsidR="003B7E10" w:rsidRPr="00F70354">
        <w:rPr>
          <w:rFonts w:ascii="Arial" w:hAnsi="Arial" w:cs="Arial"/>
          <w:lang w:val="fr-BE"/>
        </w:rPr>
        <w:t>résidents</w:t>
      </w:r>
      <w:r w:rsidR="001B0D61" w:rsidRPr="00F70354">
        <w:rPr>
          <w:rFonts w:ascii="Arial" w:hAnsi="Arial" w:cs="Arial"/>
          <w:lang w:val="fr-BE"/>
        </w:rPr>
        <w:t xml:space="preserve"> dépendants était de 33%. </w:t>
      </w:r>
      <w:r w:rsidR="00C2672C" w:rsidRPr="00F70354">
        <w:rPr>
          <w:rFonts w:ascii="Arial" w:hAnsi="Arial" w:cs="Arial"/>
          <w:lang w:val="fr-BE"/>
        </w:rPr>
        <w:t xml:space="preserve">Les taux de mortalité restaient quand-même plus </w:t>
      </w:r>
      <w:r w:rsidR="00950F04" w:rsidRPr="00F70354">
        <w:rPr>
          <w:rFonts w:ascii="Arial" w:hAnsi="Arial" w:cs="Arial"/>
          <w:lang w:val="fr-BE"/>
        </w:rPr>
        <w:t>élevés</w:t>
      </w:r>
      <w:r w:rsidR="00C2672C" w:rsidRPr="00F70354">
        <w:rPr>
          <w:rFonts w:ascii="Arial" w:hAnsi="Arial" w:cs="Arial"/>
          <w:lang w:val="fr-BE"/>
        </w:rPr>
        <w:t xml:space="preserve"> pour les </w:t>
      </w:r>
      <w:r w:rsidR="003B7E10" w:rsidRPr="00F70354">
        <w:rPr>
          <w:rFonts w:ascii="Arial" w:hAnsi="Arial" w:cs="Arial"/>
          <w:lang w:val="fr-BE"/>
        </w:rPr>
        <w:t>résidents</w:t>
      </w:r>
      <w:r w:rsidR="00C2672C" w:rsidRPr="00F70354">
        <w:rPr>
          <w:rFonts w:ascii="Arial" w:hAnsi="Arial" w:cs="Arial"/>
          <w:lang w:val="fr-BE"/>
        </w:rPr>
        <w:t xml:space="preserve"> dépendantes comparés aux </w:t>
      </w:r>
      <w:r w:rsidR="003B7E10" w:rsidRPr="00F70354">
        <w:rPr>
          <w:rFonts w:ascii="Arial" w:hAnsi="Arial" w:cs="Arial"/>
          <w:lang w:val="fr-BE"/>
        </w:rPr>
        <w:t>résidents</w:t>
      </w:r>
      <w:r w:rsidR="00C2672C" w:rsidRPr="00F70354">
        <w:rPr>
          <w:rFonts w:ascii="Arial" w:hAnsi="Arial" w:cs="Arial"/>
          <w:lang w:val="fr-BE"/>
        </w:rPr>
        <w:t xml:space="preserve"> non-dépendantes. </w:t>
      </w:r>
      <w:r w:rsidR="00AF39D8" w:rsidRPr="00F70354">
        <w:rPr>
          <w:rFonts w:ascii="Arial" w:hAnsi="Arial" w:cs="Arial"/>
          <w:lang w:val="fr-BE"/>
        </w:rPr>
        <w:t xml:space="preserve">La surmortalité des résidents dépendants est comparable dans les deux régions : +37% à Bruxelles et +32% en Wallonie en 2020 comparée à 2019. La surmortalité des résidents non-dépendants s’avère </w:t>
      </w:r>
      <w:r w:rsidR="003B7E10" w:rsidRPr="00F70354">
        <w:rPr>
          <w:rFonts w:ascii="Arial" w:hAnsi="Arial" w:cs="Arial"/>
          <w:lang w:val="fr-BE"/>
        </w:rPr>
        <w:t>beaucoup</w:t>
      </w:r>
      <w:r w:rsidR="00AF39D8" w:rsidRPr="00F70354">
        <w:rPr>
          <w:rFonts w:ascii="Arial" w:hAnsi="Arial" w:cs="Arial"/>
          <w:lang w:val="fr-BE"/>
        </w:rPr>
        <w:t xml:space="preserve"> plus important à Bruxelles qu’en Wallonie : +57% à Bruxelles et +20% en Wallonie.</w:t>
      </w:r>
      <w:r w:rsidR="00F47254" w:rsidRPr="00F70354">
        <w:rPr>
          <w:rFonts w:ascii="Arial" w:hAnsi="Arial" w:cs="Arial"/>
          <w:lang w:val="fr-BE"/>
        </w:rPr>
        <w:t xml:space="preserve"> </w:t>
      </w:r>
    </w:p>
    <w:p w14:paraId="3834D326" w14:textId="1E86CDE7" w:rsidR="007A70BF" w:rsidRDefault="007A70BF" w:rsidP="007A70BF">
      <w:pPr>
        <w:pStyle w:val="Lgende"/>
        <w:keepNext/>
        <w:rPr>
          <w:lang w:val="fr-BE"/>
        </w:rPr>
      </w:pPr>
      <w:r w:rsidRPr="00BA56CC">
        <w:rPr>
          <w:lang w:val="fr-BE"/>
        </w:rPr>
        <w:lastRenderedPageBreak/>
        <w:t xml:space="preserve">Figure </w:t>
      </w:r>
      <w:r w:rsidRPr="00BA56CC">
        <w:rPr>
          <w:lang w:val="fr-BE"/>
        </w:rPr>
        <w:fldChar w:fldCharType="begin"/>
      </w:r>
      <w:r w:rsidRPr="00BA56CC">
        <w:rPr>
          <w:lang w:val="fr-BE"/>
        </w:rPr>
        <w:instrText xml:space="preserve"> SEQ Figure \* ARABIC </w:instrText>
      </w:r>
      <w:r w:rsidRPr="00BA56CC">
        <w:rPr>
          <w:lang w:val="fr-BE"/>
        </w:rPr>
        <w:fldChar w:fldCharType="separate"/>
      </w:r>
      <w:r w:rsidR="00233CD0" w:rsidRPr="00BA56CC">
        <w:rPr>
          <w:noProof/>
          <w:lang w:val="fr-BE"/>
        </w:rPr>
        <w:t>1</w:t>
      </w:r>
      <w:r w:rsidRPr="00BA56CC">
        <w:rPr>
          <w:lang w:val="fr-BE"/>
        </w:rPr>
        <w:fldChar w:fldCharType="end"/>
      </w:r>
      <w:r w:rsidRPr="00BA56CC">
        <w:rPr>
          <w:lang w:val="fr-BE"/>
        </w:rPr>
        <w:t xml:space="preserve">: </w:t>
      </w:r>
      <w:r w:rsidR="00735AED">
        <w:rPr>
          <w:lang w:val="fr-BE"/>
        </w:rPr>
        <w:t>Nombre de décès et taux de mortalité en m</w:t>
      </w:r>
      <w:r w:rsidRPr="00BA56CC">
        <w:rPr>
          <w:lang w:val="fr-BE"/>
        </w:rPr>
        <w:t>aison de repos</w:t>
      </w:r>
      <w:r w:rsidR="00735AED">
        <w:rPr>
          <w:lang w:val="fr-BE"/>
        </w:rPr>
        <w:t>. Source : Mutualités Libres</w:t>
      </w:r>
    </w:p>
    <w:p w14:paraId="33968FFF" w14:textId="3889CD1B" w:rsidR="003B0824" w:rsidRPr="003B7E10" w:rsidRDefault="003B7E10" w:rsidP="003B0824">
      <w:pPr>
        <w:rPr>
          <w:lang w:val="fr-BE"/>
        </w:rPr>
      </w:pPr>
      <w:r>
        <w:rPr>
          <w:noProof/>
        </w:rPr>
        <w:drawing>
          <wp:inline distT="0" distB="0" distL="0" distR="0" wp14:anchorId="5FF9ACEE" wp14:editId="45561083">
            <wp:extent cx="5713010" cy="3209925"/>
            <wp:effectExtent l="19050" t="19050" r="2159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23"/>
                    <a:stretch/>
                  </pic:blipFill>
                  <pic:spPr bwMode="auto">
                    <a:xfrm>
                      <a:off x="0" y="0"/>
                      <a:ext cx="5713010" cy="3209925"/>
                    </a:xfrm>
                    <a:prstGeom prst="rect">
                      <a:avLst/>
                    </a:prstGeom>
                    <a:ln w="9525" cap="flat" cmpd="sng" algn="ctr">
                      <a:solidFill>
                        <a:srgbClr val="E2B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D51704F" w14:textId="77777777" w:rsidR="00DE11C6" w:rsidRPr="00AD6034" w:rsidRDefault="00DE11C6" w:rsidP="00DE11C6">
      <w:pPr>
        <w:spacing w:after="0"/>
        <w:rPr>
          <w:rFonts w:ascii="Arial" w:hAnsi="Arial"/>
          <w:b/>
          <w:color w:val="404040" w:themeColor="text1" w:themeTint="BF"/>
          <w:sz w:val="26"/>
          <w:szCs w:val="26"/>
          <w:lang w:val="fr-FR"/>
        </w:rPr>
      </w:pPr>
    </w:p>
    <w:p w14:paraId="5F7EC666" w14:textId="29E83BF8" w:rsidR="00BC095C" w:rsidRPr="00AD6034" w:rsidRDefault="00BB6744" w:rsidP="00DE11C6">
      <w:pPr>
        <w:spacing w:after="0"/>
        <w:rPr>
          <w:rFonts w:ascii="Arial" w:hAnsi="Arial"/>
          <w:b/>
          <w:color w:val="404040" w:themeColor="text1" w:themeTint="BF"/>
          <w:sz w:val="26"/>
          <w:szCs w:val="26"/>
          <w:lang w:val="fr-FR"/>
        </w:rPr>
      </w:pPr>
      <w:r w:rsidRPr="00AD6034">
        <w:rPr>
          <w:rFonts w:ascii="Arial" w:hAnsi="Arial"/>
          <w:b/>
          <w:color w:val="404040" w:themeColor="text1" w:themeTint="BF"/>
          <w:sz w:val="26"/>
          <w:szCs w:val="26"/>
          <w:lang w:val="fr-FR"/>
        </w:rPr>
        <w:t>Profil</w:t>
      </w:r>
      <w:r w:rsidR="00BC095C" w:rsidRPr="00AD6034">
        <w:rPr>
          <w:rFonts w:ascii="Arial" w:hAnsi="Arial"/>
          <w:b/>
          <w:color w:val="404040" w:themeColor="text1" w:themeTint="BF"/>
          <w:sz w:val="26"/>
          <w:szCs w:val="26"/>
          <w:lang w:val="fr-FR"/>
        </w:rPr>
        <w:t xml:space="preserve"> de</w:t>
      </w:r>
      <w:r w:rsidRPr="00AD6034">
        <w:rPr>
          <w:rFonts w:ascii="Arial" w:hAnsi="Arial"/>
          <w:b/>
          <w:color w:val="404040" w:themeColor="text1" w:themeTint="BF"/>
          <w:sz w:val="26"/>
          <w:szCs w:val="26"/>
          <w:lang w:val="fr-FR"/>
        </w:rPr>
        <w:t>s</w:t>
      </w:r>
      <w:r w:rsidR="00BC095C" w:rsidRPr="00AD6034">
        <w:rPr>
          <w:rFonts w:ascii="Arial" w:hAnsi="Arial"/>
          <w:b/>
          <w:color w:val="404040" w:themeColor="text1" w:themeTint="BF"/>
          <w:sz w:val="26"/>
          <w:szCs w:val="26"/>
          <w:lang w:val="fr-FR"/>
        </w:rPr>
        <w:t xml:space="preserve"> nouveaux résidents en maison de repos</w:t>
      </w:r>
    </w:p>
    <w:p w14:paraId="37CC0BAA" w14:textId="77777777" w:rsidR="00DE11C6" w:rsidRDefault="00DE11C6" w:rsidP="00996212">
      <w:pPr>
        <w:jc w:val="both"/>
        <w:rPr>
          <w:lang w:val="fr-FR"/>
        </w:rPr>
      </w:pPr>
      <w:bookmarkStart w:id="0" w:name="_Hlk77139780"/>
    </w:p>
    <w:p w14:paraId="2D8748E7" w14:textId="41D231C4" w:rsidR="002F2D71" w:rsidRPr="00F70354" w:rsidRDefault="002F2D71" w:rsidP="00996212">
      <w:pPr>
        <w:jc w:val="both"/>
        <w:rPr>
          <w:rFonts w:ascii="Arial" w:hAnsi="Arial" w:cs="Arial"/>
          <w:lang w:val="fr-FR"/>
        </w:rPr>
      </w:pPr>
      <w:r w:rsidRPr="00F70354">
        <w:rPr>
          <w:rFonts w:ascii="Arial" w:hAnsi="Arial" w:cs="Arial"/>
          <w:lang w:val="fr-FR"/>
        </w:rPr>
        <w:t xml:space="preserve">La figure </w:t>
      </w:r>
      <w:r w:rsidR="00BB6744" w:rsidRPr="00F70354">
        <w:rPr>
          <w:rFonts w:ascii="Arial" w:hAnsi="Arial" w:cs="Arial"/>
          <w:lang w:val="fr-FR"/>
        </w:rPr>
        <w:t>2</w:t>
      </w:r>
      <w:r w:rsidRPr="00F70354">
        <w:rPr>
          <w:rFonts w:ascii="Arial" w:hAnsi="Arial" w:cs="Arial"/>
          <w:lang w:val="fr-FR"/>
        </w:rPr>
        <w:t xml:space="preserve"> montre le profil de dépendance des nouveaux résidents qui entrent en maison de repos en Wallonie ou à Bruxelles en 2019 et 2020. </w:t>
      </w:r>
      <w:r w:rsidR="005118B6" w:rsidRPr="00F70354">
        <w:rPr>
          <w:rFonts w:ascii="Arial" w:hAnsi="Arial" w:cs="Arial"/>
          <w:lang w:val="fr-FR"/>
        </w:rPr>
        <w:t xml:space="preserve">Nous constatons, lors de la première vague </w:t>
      </w:r>
      <w:r w:rsidR="00D34F82" w:rsidRPr="00F70354">
        <w:rPr>
          <w:rFonts w:ascii="Arial" w:hAnsi="Arial" w:cs="Arial"/>
          <w:lang w:val="fr-FR"/>
        </w:rPr>
        <w:t xml:space="preserve">de la pandémie </w:t>
      </w:r>
      <w:r w:rsidR="005118B6" w:rsidRPr="00F70354">
        <w:rPr>
          <w:rFonts w:ascii="Arial" w:hAnsi="Arial" w:cs="Arial"/>
          <w:lang w:val="fr-FR"/>
        </w:rPr>
        <w:t xml:space="preserve">(mars-juin 2020), une forte diminution dans le nombre de nouvelles entrées en </w:t>
      </w:r>
      <w:r w:rsidRPr="00F70354">
        <w:rPr>
          <w:rFonts w:ascii="Arial" w:hAnsi="Arial" w:cs="Arial"/>
          <w:lang w:val="fr-FR"/>
        </w:rPr>
        <w:t>maisons de repos</w:t>
      </w:r>
      <w:r w:rsidR="00BB6744" w:rsidRPr="00F70354">
        <w:rPr>
          <w:rFonts w:ascii="Arial" w:hAnsi="Arial" w:cs="Arial"/>
          <w:lang w:val="fr-FR"/>
        </w:rPr>
        <w:t xml:space="preserve"> dans les deux régions</w:t>
      </w:r>
      <w:r w:rsidR="005118B6" w:rsidRPr="00F70354">
        <w:rPr>
          <w:rFonts w:ascii="Arial" w:hAnsi="Arial" w:cs="Arial"/>
          <w:lang w:val="fr-FR"/>
        </w:rPr>
        <w:t xml:space="preserve"> : </w:t>
      </w:r>
      <w:r w:rsidR="003E1743" w:rsidRPr="00F70354">
        <w:rPr>
          <w:rFonts w:ascii="Arial" w:hAnsi="Arial" w:cs="Arial"/>
          <w:lang w:val="fr-FR"/>
        </w:rPr>
        <w:t>à Bruxelles, le nombre de nouvelles entrées était inférieur de 3</w:t>
      </w:r>
      <w:r w:rsidR="004412A9" w:rsidRPr="00F70354">
        <w:rPr>
          <w:rFonts w:ascii="Arial" w:hAnsi="Arial" w:cs="Arial"/>
          <w:lang w:val="fr-FR"/>
        </w:rPr>
        <w:t>3</w:t>
      </w:r>
      <w:r w:rsidR="003E1743" w:rsidRPr="00F70354">
        <w:rPr>
          <w:rFonts w:ascii="Arial" w:hAnsi="Arial" w:cs="Arial"/>
          <w:lang w:val="fr-FR"/>
        </w:rPr>
        <w:t xml:space="preserve"> % dans la période </w:t>
      </w:r>
      <w:r w:rsidR="004412A9" w:rsidRPr="00F70354">
        <w:rPr>
          <w:rFonts w:ascii="Arial" w:hAnsi="Arial" w:cs="Arial"/>
          <w:lang w:val="fr-FR"/>
        </w:rPr>
        <w:t>février</w:t>
      </w:r>
      <w:r w:rsidR="003E1743" w:rsidRPr="00F70354">
        <w:rPr>
          <w:rFonts w:ascii="Arial" w:hAnsi="Arial" w:cs="Arial"/>
          <w:lang w:val="fr-FR"/>
        </w:rPr>
        <w:t xml:space="preserve">-décembre 2020 par rapport à la même période en 2019 et </w:t>
      </w:r>
      <w:r w:rsidR="00BB6744" w:rsidRPr="00F70354">
        <w:rPr>
          <w:rFonts w:ascii="Arial" w:hAnsi="Arial" w:cs="Arial"/>
          <w:lang w:val="fr-FR"/>
        </w:rPr>
        <w:t>en Wallonie le nombre était inférieur de</w:t>
      </w:r>
      <w:r w:rsidR="003E1743" w:rsidRPr="00F70354">
        <w:rPr>
          <w:rFonts w:ascii="Arial" w:hAnsi="Arial" w:cs="Arial"/>
          <w:lang w:val="fr-FR"/>
        </w:rPr>
        <w:t xml:space="preserve"> </w:t>
      </w:r>
      <w:r w:rsidR="004412A9" w:rsidRPr="00F70354">
        <w:rPr>
          <w:rFonts w:ascii="Arial" w:hAnsi="Arial" w:cs="Arial"/>
          <w:lang w:val="fr-FR"/>
        </w:rPr>
        <w:t>29</w:t>
      </w:r>
      <w:r w:rsidR="003E1743" w:rsidRPr="00F70354">
        <w:rPr>
          <w:rFonts w:ascii="Arial" w:hAnsi="Arial" w:cs="Arial"/>
          <w:lang w:val="fr-FR"/>
        </w:rPr>
        <w:t> %</w:t>
      </w:r>
      <w:r w:rsidR="005118B6" w:rsidRPr="00F70354">
        <w:rPr>
          <w:rFonts w:ascii="Arial" w:hAnsi="Arial" w:cs="Arial"/>
          <w:lang w:val="fr-FR"/>
        </w:rPr>
        <w:t xml:space="preserve">. </w:t>
      </w:r>
      <w:r w:rsidR="00887DC4" w:rsidRPr="00F70354">
        <w:rPr>
          <w:rFonts w:ascii="Arial" w:hAnsi="Arial" w:cs="Arial"/>
          <w:lang w:val="fr-FR"/>
        </w:rPr>
        <w:t>Comme il y a plus de résidents de maisons de repos en Wallonie, la diminution était plus importante en Wallonie qu’à Bruxelles en termes absolus: -998 vs -545.</w:t>
      </w:r>
    </w:p>
    <w:p w14:paraId="704E332F" w14:textId="48B7A4E2" w:rsidR="00BB6744" w:rsidRPr="00F70354" w:rsidRDefault="002F2D71" w:rsidP="00996212">
      <w:pPr>
        <w:jc w:val="both"/>
        <w:rPr>
          <w:rFonts w:ascii="Arial" w:hAnsi="Arial" w:cs="Arial"/>
          <w:lang w:val="fr-FR"/>
        </w:rPr>
      </w:pPr>
      <w:r w:rsidRPr="00F70354">
        <w:rPr>
          <w:rFonts w:ascii="Arial" w:hAnsi="Arial" w:cs="Arial"/>
          <w:lang w:val="fr-FR"/>
        </w:rPr>
        <w:t>La diminution</w:t>
      </w:r>
      <w:r w:rsidR="00A02EDC" w:rsidRPr="00F70354">
        <w:rPr>
          <w:rFonts w:ascii="Arial" w:hAnsi="Arial" w:cs="Arial"/>
          <w:lang w:val="fr-FR"/>
        </w:rPr>
        <w:t xml:space="preserve"> entre 2019 et 2020 du nombre des nouveaux résidents</w:t>
      </w:r>
      <w:r w:rsidRPr="00F70354">
        <w:rPr>
          <w:rFonts w:ascii="Arial" w:hAnsi="Arial" w:cs="Arial"/>
          <w:lang w:val="fr-FR"/>
        </w:rPr>
        <w:t xml:space="preserve"> s’observe </w:t>
      </w:r>
      <w:r w:rsidR="00A02EDC" w:rsidRPr="00F70354">
        <w:rPr>
          <w:rFonts w:ascii="Arial" w:hAnsi="Arial" w:cs="Arial"/>
          <w:lang w:val="fr-FR"/>
        </w:rPr>
        <w:t>plus</w:t>
      </w:r>
      <w:r w:rsidRPr="00F70354">
        <w:rPr>
          <w:rFonts w:ascii="Arial" w:hAnsi="Arial" w:cs="Arial"/>
          <w:lang w:val="fr-FR"/>
        </w:rPr>
        <w:t xml:space="preserve"> chez les non-dépendant</w:t>
      </w:r>
      <w:r w:rsidR="00971EAC" w:rsidRPr="00F70354">
        <w:rPr>
          <w:rFonts w:ascii="Arial" w:hAnsi="Arial" w:cs="Arial"/>
          <w:lang w:val="fr-FR"/>
        </w:rPr>
        <w:t>s</w:t>
      </w:r>
      <w:r w:rsidRPr="00F70354">
        <w:rPr>
          <w:rFonts w:ascii="Arial" w:hAnsi="Arial" w:cs="Arial"/>
          <w:lang w:val="fr-FR"/>
        </w:rPr>
        <w:t xml:space="preserve"> que chez les </w:t>
      </w:r>
      <w:r w:rsidR="003E4E31" w:rsidRPr="00F70354">
        <w:rPr>
          <w:rFonts w:ascii="Arial" w:hAnsi="Arial" w:cs="Arial"/>
          <w:lang w:val="fr-FR"/>
        </w:rPr>
        <w:t>dépendants:</w:t>
      </w:r>
      <w:r w:rsidR="00484FFB" w:rsidRPr="00F70354">
        <w:rPr>
          <w:rFonts w:ascii="Arial" w:hAnsi="Arial" w:cs="Arial"/>
          <w:lang w:val="fr-FR"/>
        </w:rPr>
        <w:t xml:space="preserve"> d</w:t>
      </w:r>
      <w:r w:rsidRPr="00F70354">
        <w:rPr>
          <w:rFonts w:ascii="Arial" w:hAnsi="Arial" w:cs="Arial"/>
          <w:lang w:val="fr-FR"/>
        </w:rPr>
        <w:t>ans la période mars-décembre 2020 on observe une diminution de 4</w:t>
      </w:r>
      <w:r w:rsidR="004412A9" w:rsidRPr="00F70354">
        <w:rPr>
          <w:rFonts w:ascii="Arial" w:hAnsi="Arial" w:cs="Arial"/>
          <w:lang w:val="fr-FR"/>
        </w:rPr>
        <w:t>7</w:t>
      </w:r>
      <w:r w:rsidRPr="00F70354">
        <w:rPr>
          <w:rFonts w:ascii="Arial" w:hAnsi="Arial" w:cs="Arial"/>
          <w:lang w:val="fr-FR"/>
        </w:rPr>
        <w:t>% en Wallonie et 4</w:t>
      </w:r>
      <w:r w:rsidR="004412A9" w:rsidRPr="00F70354">
        <w:rPr>
          <w:rFonts w:ascii="Arial" w:hAnsi="Arial" w:cs="Arial"/>
          <w:lang w:val="fr-FR"/>
        </w:rPr>
        <w:t>1%</w:t>
      </w:r>
      <w:r w:rsidRPr="00F70354">
        <w:rPr>
          <w:rFonts w:ascii="Arial" w:hAnsi="Arial" w:cs="Arial"/>
          <w:lang w:val="fr-FR"/>
        </w:rPr>
        <w:t xml:space="preserve"> à Bruxelles des entrées des profils non-dépendants par rapport à la même période en 2019. Pour les profils dépendants on observe sur ces périodes ci-mentionnées une diminution </w:t>
      </w:r>
      <w:r w:rsidR="006A1A39" w:rsidRPr="00F70354">
        <w:rPr>
          <w:rFonts w:ascii="Arial" w:hAnsi="Arial" w:cs="Arial"/>
          <w:lang w:val="fr-FR"/>
        </w:rPr>
        <w:t xml:space="preserve">plus légère </w:t>
      </w:r>
      <w:r w:rsidR="004126B1" w:rsidRPr="00F70354">
        <w:rPr>
          <w:rFonts w:ascii="Arial" w:hAnsi="Arial" w:cs="Arial"/>
          <w:lang w:val="fr-FR"/>
        </w:rPr>
        <w:t>(-22%)</w:t>
      </w:r>
      <w:r w:rsidRPr="00F70354">
        <w:rPr>
          <w:rFonts w:ascii="Arial" w:hAnsi="Arial" w:cs="Arial"/>
          <w:lang w:val="fr-FR"/>
        </w:rPr>
        <w:t>.</w:t>
      </w:r>
      <w:r w:rsidR="00484FFB" w:rsidRPr="00F70354">
        <w:rPr>
          <w:rFonts w:ascii="Arial" w:hAnsi="Arial" w:cs="Arial"/>
          <w:lang w:val="fr-FR"/>
        </w:rPr>
        <w:t xml:space="preserve"> </w:t>
      </w:r>
      <w:r w:rsidR="004126B1" w:rsidRPr="00F70354">
        <w:rPr>
          <w:rFonts w:ascii="Arial" w:hAnsi="Arial" w:cs="Arial"/>
          <w:lang w:val="fr-FR"/>
        </w:rPr>
        <w:t xml:space="preserve">Nos données nous montrent que, par conséquent, </w:t>
      </w:r>
      <w:r w:rsidR="00BB6744" w:rsidRPr="00F70354">
        <w:rPr>
          <w:rFonts w:ascii="Arial" w:hAnsi="Arial" w:cs="Arial"/>
          <w:lang w:val="fr-FR"/>
        </w:rPr>
        <w:t>la part des non-dépendants parmi les nouveaux résidents a diminué entre 2019 et 2020 : de 43% à 34% à Bruxelles et de 36% à 30% en Wallonie.</w:t>
      </w:r>
      <w:r w:rsidR="006A1A39" w:rsidRPr="00F70354">
        <w:rPr>
          <w:rFonts w:ascii="Arial" w:hAnsi="Arial" w:cs="Arial"/>
          <w:lang w:val="fr-FR"/>
        </w:rPr>
        <w:t xml:space="preserve"> </w:t>
      </w:r>
    </w:p>
    <w:p w14:paraId="58A230B8" w14:textId="4869249A" w:rsidR="00531C1C" w:rsidRPr="00F70354" w:rsidRDefault="00531C1C" w:rsidP="00996212">
      <w:pPr>
        <w:jc w:val="both"/>
        <w:rPr>
          <w:rFonts w:ascii="Arial" w:hAnsi="Arial" w:cs="Arial"/>
          <w:lang w:val="fr-FR"/>
        </w:rPr>
      </w:pPr>
      <w:r w:rsidRPr="00F70354">
        <w:rPr>
          <w:rFonts w:ascii="Arial" w:hAnsi="Arial" w:cs="Arial"/>
          <w:lang w:val="fr-FR"/>
        </w:rPr>
        <w:t xml:space="preserve">A cause d’un taux e mortalité plus important et moins d’entrées en maison de repos en 2020, le nombre des membres des Mutualités Libres qui résident en maison de repos </w:t>
      </w:r>
      <w:r w:rsidR="001377C6" w:rsidRPr="00F70354">
        <w:rPr>
          <w:rFonts w:ascii="Arial" w:hAnsi="Arial" w:cs="Arial"/>
          <w:lang w:val="fr-FR"/>
        </w:rPr>
        <w:t xml:space="preserve">à Bruxelles et en Wallonie </w:t>
      </w:r>
      <w:r w:rsidRPr="00F70354">
        <w:rPr>
          <w:rFonts w:ascii="Arial" w:hAnsi="Arial" w:cs="Arial"/>
          <w:lang w:val="fr-FR"/>
        </w:rPr>
        <w:t>a diminué entre</w:t>
      </w:r>
      <w:r w:rsidR="001377C6" w:rsidRPr="00F70354">
        <w:rPr>
          <w:rFonts w:ascii="Arial" w:hAnsi="Arial" w:cs="Arial"/>
          <w:lang w:val="fr-FR"/>
        </w:rPr>
        <w:t xml:space="preserve"> janvier </w:t>
      </w:r>
      <w:r w:rsidRPr="00F70354">
        <w:rPr>
          <w:rFonts w:ascii="Arial" w:hAnsi="Arial" w:cs="Arial"/>
          <w:lang w:val="fr-FR"/>
        </w:rPr>
        <w:t>2019 et</w:t>
      </w:r>
      <w:r w:rsidR="001377C6" w:rsidRPr="00F70354">
        <w:rPr>
          <w:rFonts w:ascii="Arial" w:hAnsi="Arial" w:cs="Arial"/>
          <w:lang w:val="fr-FR"/>
        </w:rPr>
        <w:t xml:space="preserve"> décembre</w:t>
      </w:r>
      <w:r w:rsidRPr="00F70354">
        <w:rPr>
          <w:rFonts w:ascii="Arial" w:hAnsi="Arial" w:cs="Arial"/>
          <w:lang w:val="fr-FR"/>
        </w:rPr>
        <w:t xml:space="preserve"> 2020 </w:t>
      </w:r>
      <w:r w:rsidR="001377C6" w:rsidRPr="00F70354">
        <w:rPr>
          <w:rFonts w:ascii="Arial" w:hAnsi="Arial" w:cs="Arial"/>
          <w:lang w:val="fr-FR"/>
        </w:rPr>
        <w:t>de 6.5%.</w:t>
      </w:r>
    </w:p>
    <w:bookmarkEnd w:id="0"/>
    <w:p w14:paraId="479C8C39" w14:textId="3C4F027D" w:rsidR="00166097" w:rsidRPr="00BA56CC" w:rsidRDefault="008C595B" w:rsidP="00166097">
      <w:pPr>
        <w:pStyle w:val="Lgende"/>
        <w:keepNext/>
        <w:rPr>
          <w:lang w:val="fr-BE"/>
        </w:rPr>
      </w:pPr>
      <w:r w:rsidRPr="00BA56CC">
        <w:rPr>
          <w:lang w:val="fr-BE"/>
        </w:rPr>
        <w:lastRenderedPageBreak/>
        <w:t>F</w:t>
      </w:r>
      <w:r w:rsidR="00166097" w:rsidRPr="00BA56CC">
        <w:rPr>
          <w:lang w:val="fr-BE"/>
        </w:rPr>
        <w:t xml:space="preserve">igure </w:t>
      </w:r>
      <w:r w:rsidR="00166097" w:rsidRPr="00BA56CC">
        <w:rPr>
          <w:lang w:val="fr-BE"/>
        </w:rPr>
        <w:fldChar w:fldCharType="begin"/>
      </w:r>
      <w:r w:rsidR="00166097" w:rsidRPr="00BA56CC">
        <w:rPr>
          <w:lang w:val="fr-BE"/>
        </w:rPr>
        <w:instrText xml:space="preserve"> SEQ Figure \* ARABIC </w:instrText>
      </w:r>
      <w:r w:rsidR="00166097" w:rsidRPr="00BA56CC">
        <w:rPr>
          <w:lang w:val="fr-BE"/>
        </w:rPr>
        <w:fldChar w:fldCharType="separate"/>
      </w:r>
      <w:r w:rsidR="00EA318E">
        <w:rPr>
          <w:noProof/>
          <w:lang w:val="fr-BE"/>
        </w:rPr>
        <w:t>2</w:t>
      </w:r>
      <w:r w:rsidR="00166097" w:rsidRPr="00BA56CC">
        <w:rPr>
          <w:lang w:val="fr-BE"/>
        </w:rPr>
        <w:fldChar w:fldCharType="end"/>
      </w:r>
      <w:r w:rsidR="00166097" w:rsidRPr="00BA56CC">
        <w:rPr>
          <w:lang w:val="fr-BE"/>
        </w:rPr>
        <w:t>: Nombre de nouvelles entrées en maison de repos</w:t>
      </w:r>
      <w:r w:rsidR="00735AED">
        <w:rPr>
          <w:lang w:val="fr-BE"/>
        </w:rPr>
        <w:t>.</w:t>
      </w:r>
      <w:r w:rsidR="00735AED" w:rsidRPr="004126B1">
        <w:rPr>
          <w:lang w:val="fr-BE"/>
        </w:rPr>
        <w:t xml:space="preserve"> </w:t>
      </w:r>
      <w:r w:rsidR="00735AED">
        <w:rPr>
          <w:lang w:val="fr-BE"/>
        </w:rPr>
        <w:t>Source : Mutualités Libres</w:t>
      </w:r>
    </w:p>
    <w:p w14:paraId="5D184943" w14:textId="2386DFB3" w:rsidR="00601F98" w:rsidRPr="00BA56CC" w:rsidRDefault="00EF66E7" w:rsidP="00601F98">
      <w:pPr>
        <w:rPr>
          <w:lang w:val="fr-BE"/>
        </w:rPr>
      </w:pPr>
      <w:r>
        <w:rPr>
          <w:noProof/>
        </w:rPr>
        <w:drawing>
          <wp:inline distT="0" distB="0" distL="0" distR="0" wp14:anchorId="0840A1EF" wp14:editId="1659B797">
            <wp:extent cx="5731510" cy="2860040"/>
            <wp:effectExtent l="19050" t="19050" r="21590" b="165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860040"/>
                    </a:xfrm>
                    <a:prstGeom prst="rect">
                      <a:avLst/>
                    </a:prstGeom>
                    <a:ln>
                      <a:solidFill>
                        <a:schemeClr val="accent1"/>
                      </a:solidFill>
                    </a:ln>
                  </pic:spPr>
                </pic:pic>
              </a:graphicData>
            </a:graphic>
          </wp:inline>
        </w:drawing>
      </w:r>
    </w:p>
    <w:p w14:paraId="2A9D98A7" w14:textId="77777777" w:rsidR="00AD6034" w:rsidRDefault="00AD6034" w:rsidP="00AD6034">
      <w:pPr>
        <w:spacing w:after="0"/>
        <w:rPr>
          <w:rFonts w:ascii="Arial" w:hAnsi="Arial"/>
          <w:b/>
          <w:color w:val="404040" w:themeColor="text1" w:themeTint="BF"/>
          <w:sz w:val="26"/>
          <w:szCs w:val="26"/>
          <w:lang w:val="fr-FR"/>
        </w:rPr>
      </w:pPr>
    </w:p>
    <w:p w14:paraId="66F8D421" w14:textId="4E2989F0" w:rsidR="00D35762" w:rsidRPr="00F70354" w:rsidRDefault="00233CD0" w:rsidP="00AD6034">
      <w:pPr>
        <w:spacing w:after="0"/>
        <w:rPr>
          <w:rFonts w:ascii="Arial" w:hAnsi="Arial" w:cs="Arial"/>
          <w:b/>
          <w:color w:val="404040" w:themeColor="text1" w:themeTint="BF"/>
          <w:sz w:val="26"/>
          <w:szCs w:val="26"/>
          <w:lang w:val="fr-FR"/>
        </w:rPr>
      </w:pPr>
      <w:r w:rsidRPr="00F70354">
        <w:rPr>
          <w:rFonts w:ascii="Arial" w:hAnsi="Arial" w:cs="Arial"/>
          <w:b/>
          <w:color w:val="404040" w:themeColor="text1" w:themeTint="BF"/>
          <w:sz w:val="26"/>
          <w:szCs w:val="26"/>
          <w:lang w:val="fr-FR"/>
        </w:rPr>
        <w:t>Consommation de médicaments</w:t>
      </w:r>
    </w:p>
    <w:p w14:paraId="492BFD8B" w14:textId="23388136" w:rsidR="00AD6034" w:rsidRDefault="00AD6034" w:rsidP="00AD6034">
      <w:pPr>
        <w:spacing w:after="0"/>
        <w:rPr>
          <w:rFonts w:ascii="Arial" w:hAnsi="Arial" w:cs="Arial"/>
          <w:b/>
          <w:color w:val="404040" w:themeColor="text1" w:themeTint="BF"/>
          <w:lang w:val="fr-FR"/>
        </w:rPr>
      </w:pPr>
    </w:p>
    <w:p w14:paraId="49C1BAF9" w14:textId="77777777" w:rsidR="00F70354" w:rsidRPr="00F70354" w:rsidRDefault="00F70354" w:rsidP="00AD6034">
      <w:pPr>
        <w:spacing w:after="0"/>
        <w:rPr>
          <w:rFonts w:ascii="Arial" w:hAnsi="Arial" w:cs="Arial"/>
          <w:b/>
          <w:color w:val="404040" w:themeColor="text1" w:themeTint="BF"/>
          <w:lang w:val="fr-FR"/>
        </w:rPr>
      </w:pPr>
    </w:p>
    <w:p w14:paraId="70152919" w14:textId="6364BF27" w:rsidR="00BC095C" w:rsidRDefault="00BC095C" w:rsidP="00AD6034">
      <w:pPr>
        <w:spacing w:after="0"/>
        <w:rPr>
          <w:rFonts w:ascii="Arial" w:hAnsi="Arial" w:cs="Arial"/>
          <w:b/>
          <w:color w:val="404040" w:themeColor="text1" w:themeTint="BF"/>
          <w:lang w:val="fr-FR"/>
        </w:rPr>
      </w:pPr>
      <w:r w:rsidRPr="00F70354">
        <w:rPr>
          <w:rFonts w:ascii="Arial" w:hAnsi="Arial" w:cs="Arial"/>
          <w:b/>
          <w:color w:val="404040" w:themeColor="text1" w:themeTint="BF"/>
          <w:lang w:val="fr-FR"/>
        </w:rPr>
        <w:t xml:space="preserve">Polymédication et </w:t>
      </w:r>
      <w:r w:rsidR="001B3FB8" w:rsidRPr="00F70354">
        <w:rPr>
          <w:rFonts w:ascii="Arial" w:hAnsi="Arial" w:cs="Arial"/>
          <w:b/>
          <w:color w:val="404040" w:themeColor="text1" w:themeTint="BF"/>
          <w:lang w:val="fr-FR"/>
        </w:rPr>
        <w:t>h</w:t>
      </w:r>
      <w:r w:rsidRPr="00F70354">
        <w:rPr>
          <w:rFonts w:ascii="Arial" w:hAnsi="Arial" w:cs="Arial"/>
          <w:b/>
          <w:color w:val="404040" w:themeColor="text1" w:themeTint="BF"/>
          <w:lang w:val="fr-FR"/>
        </w:rPr>
        <w:t>yp</w:t>
      </w:r>
      <w:r w:rsidR="006A54B4" w:rsidRPr="00F70354">
        <w:rPr>
          <w:rFonts w:ascii="Arial" w:hAnsi="Arial" w:cs="Arial"/>
          <w:b/>
          <w:color w:val="404040" w:themeColor="text1" w:themeTint="BF"/>
          <w:lang w:val="fr-FR"/>
        </w:rPr>
        <w:t>erpolymédication</w:t>
      </w:r>
    </w:p>
    <w:p w14:paraId="2B0613F6" w14:textId="77777777" w:rsidR="00F70354" w:rsidRPr="00F70354" w:rsidRDefault="00F70354" w:rsidP="00AD6034">
      <w:pPr>
        <w:spacing w:after="0"/>
        <w:rPr>
          <w:rFonts w:ascii="Arial" w:hAnsi="Arial" w:cs="Arial"/>
          <w:b/>
          <w:color w:val="404040" w:themeColor="text1" w:themeTint="BF"/>
          <w:lang w:val="fr-FR"/>
        </w:rPr>
      </w:pPr>
    </w:p>
    <w:p w14:paraId="40F0372B" w14:textId="2D9BE410" w:rsidR="00AF4E69" w:rsidRPr="00F70354" w:rsidRDefault="00853358" w:rsidP="00996212">
      <w:pPr>
        <w:spacing w:after="100" w:afterAutospacing="1"/>
        <w:jc w:val="both"/>
        <w:rPr>
          <w:rFonts w:ascii="Arial" w:hAnsi="Arial" w:cs="Arial"/>
          <w:lang w:val="fr-BE"/>
        </w:rPr>
      </w:pPr>
      <w:r w:rsidRPr="00F70354">
        <w:rPr>
          <w:rFonts w:ascii="Arial" w:hAnsi="Arial" w:cs="Arial"/>
          <w:lang w:val="fr-BE"/>
        </w:rPr>
        <w:t xml:space="preserve">La figure </w:t>
      </w:r>
      <w:r w:rsidR="004126B1" w:rsidRPr="00F70354">
        <w:rPr>
          <w:rFonts w:ascii="Arial" w:hAnsi="Arial" w:cs="Arial"/>
          <w:lang w:val="fr-BE"/>
        </w:rPr>
        <w:t>3</w:t>
      </w:r>
      <w:r w:rsidRPr="00F70354">
        <w:rPr>
          <w:rFonts w:ascii="Arial" w:hAnsi="Arial" w:cs="Arial"/>
          <w:lang w:val="fr-BE"/>
        </w:rPr>
        <w:t xml:space="preserve"> montre une baisse </w:t>
      </w:r>
      <w:r w:rsidR="000056E3" w:rsidRPr="00F70354">
        <w:rPr>
          <w:rFonts w:ascii="Arial" w:hAnsi="Arial" w:cs="Arial"/>
          <w:lang w:val="fr-BE"/>
        </w:rPr>
        <w:t xml:space="preserve">(entre 2013 et 2020) </w:t>
      </w:r>
      <w:r w:rsidRPr="00F70354">
        <w:rPr>
          <w:rFonts w:ascii="Arial" w:hAnsi="Arial" w:cs="Arial"/>
          <w:lang w:val="fr-BE"/>
        </w:rPr>
        <w:t xml:space="preserve">de la proportion de </w:t>
      </w:r>
      <w:r w:rsidR="000056E3" w:rsidRPr="00F70354">
        <w:rPr>
          <w:rFonts w:ascii="Arial" w:hAnsi="Arial" w:cs="Arial"/>
          <w:lang w:val="fr-BE"/>
        </w:rPr>
        <w:t>résidents en maison de repos</w:t>
      </w:r>
      <w:r w:rsidRPr="00F70354">
        <w:rPr>
          <w:rFonts w:ascii="Arial" w:hAnsi="Arial" w:cs="Arial"/>
          <w:lang w:val="fr-BE"/>
        </w:rPr>
        <w:t xml:space="preserve"> polymédiqués (c’est-à-dire utilisant au moins 5 médicaments différents pendant une année) et hyperpolymédiqués (au moins 10 médicaments différents) aussi bien à Bruxelles qu’en Wallonie. La diminution semble toutefois plus forte à Bruxelles</w:t>
      </w:r>
      <w:r w:rsidR="001B3FB8" w:rsidRPr="00F70354">
        <w:rPr>
          <w:rFonts w:ascii="Arial" w:hAnsi="Arial" w:cs="Arial"/>
          <w:lang w:val="fr-BE"/>
        </w:rPr>
        <w:t>,</w:t>
      </w:r>
      <w:r w:rsidRPr="00F70354">
        <w:rPr>
          <w:rFonts w:ascii="Arial" w:hAnsi="Arial" w:cs="Arial"/>
          <w:lang w:val="fr-BE"/>
        </w:rPr>
        <w:t xml:space="preserve"> qui compte proportionnellement moins de personnes (hyper)polymédiquées qu’en Wallonie. Entre 2013 et 2020, la proportion de </w:t>
      </w:r>
      <w:r w:rsidR="000056E3" w:rsidRPr="00F70354">
        <w:rPr>
          <w:rFonts w:ascii="Arial" w:hAnsi="Arial" w:cs="Arial"/>
          <w:lang w:val="fr-BE"/>
        </w:rPr>
        <w:t>résidents</w:t>
      </w:r>
      <w:r w:rsidRPr="00F70354">
        <w:rPr>
          <w:rFonts w:ascii="Arial" w:hAnsi="Arial" w:cs="Arial"/>
          <w:lang w:val="fr-BE"/>
        </w:rPr>
        <w:t xml:space="preserve"> polymédiqués est passée de 51</w:t>
      </w:r>
      <w:r w:rsidR="001B3FB8" w:rsidRPr="00F70354">
        <w:rPr>
          <w:rFonts w:ascii="Arial" w:hAnsi="Arial" w:cs="Arial"/>
          <w:lang w:val="fr-BE"/>
        </w:rPr>
        <w:t> </w:t>
      </w:r>
      <w:r w:rsidRPr="00F70354">
        <w:rPr>
          <w:rFonts w:ascii="Arial" w:hAnsi="Arial" w:cs="Arial"/>
          <w:lang w:val="fr-BE"/>
        </w:rPr>
        <w:t>% à 41</w:t>
      </w:r>
      <w:r w:rsidR="001B3FB8" w:rsidRPr="00F70354">
        <w:rPr>
          <w:rFonts w:ascii="Arial" w:hAnsi="Arial" w:cs="Arial"/>
          <w:lang w:val="fr-BE"/>
        </w:rPr>
        <w:t> </w:t>
      </w:r>
      <w:r w:rsidRPr="00F70354">
        <w:rPr>
          <w:rFonts w:ascii="Arial" w:hAnsi="Arial" w:cs="Arial"/>
          <w:lang w:val="fr-BE"/>
        </w:rPr>
        <w:t>% à Bruxelles et de 57</w:t>
      </w:r>
      <w:r w:rsidR="001B3FB8" w:rsidRPr="00F70354">
        <w:rPr>
          <w:rFonts w:ascii="Arial" w:hAnsi="Arial" w:cs="Arial"/>
          <w:lang w:val="fr-BE"/>
        </w:rPr>
        <w:t> </w:t>
      </w:r>
      <w:r w:rsidRPr="00F70354">
        <w:rPr>
          <w:rFonts w:ascii="Arial" w:hAnsi="Arial" w:cs="Arial"/>
          <w:lang w:val="fr-BE"/>
        </w:rPr>
        <w:t>% à 51</w:t>
      </w:r>
      <w:r w:rsidR="001B3FB8" w:rsidRPr="00F70354">
        <w:rPr>
          <w:rFonts w:ascii="Arial" w:hAnsi="Arial" w:cs="Arial"/>
          <w:lang w:val="fr-BE"/>
        </w:rPr>
        <w:t> </w:t>
      </w:r>
      <w:r w:rsidRPr="00F70354">
        <w:rPr>
          <w:rFonts w:ascii="Arial" w:hAnsi="Arial" w:cs="Arial"/>
          <w:lang w:val="fr-BE"/>
        </w:rPr>
        <w:t>% en Wallonie. Pour les personnes hyperpolymédiquées, leur proportion passe de 7</w:t>
      </w:r>
      <w:r w:rsidR="001B3FB8" w:rsidRPr="00F70354">
        <w:rPr>
          <w:rFonts w:ascii="Arial" w:hAnsi="Arial" w:cs="Arial"/>
          <w:lang w:val="fr-BE"/>
        </w:rPr>
        <w:t> </w:t>
      </w:r>
      <w:r w:rsidRPr="00F70354">
        <w:rPr>
          <w:rFonts w:ascii="Arial" w:hAnsi="Arial" w:cs="Arial"/>
          <w:lang w:val="fr-BE"/>
        </w:rPr>
        <w:t>% à 5</w:t>
      </w:r>
      <w:r w:rsidR="001B3FB8" w:rsidRPr="00F70354">
        <w:rPr>
          <w:rFonts w:ascii="Arial" w:hAnsi="Arial" w:cs="Arial"/>
          <w:lang w:val="fr-BE"/>
        </w:rPr>
        <w:t> </w:t>
      </w:r>
      <w:r w:rsidRPr="00F70354">
        <w:rPr>
          <w:rFonts w:ascii="Arial" w:hAnsi="Arial" w:cs="Arial"/>
          <w:lang w:val="fr-BE"/>
        </w:rPr>
        <w:t>% à Bruxelles et de 10</w:t>
      </w:r>
      <w:r w:rsidR="001B3FB8" w:rsidRPr="00F70354">
        <w:rPr>
          <w:rFonts w:ascii="Arial" w:hAnsi="Arial" w:cs="Arial"/>
          <w:lang w:val="fr-BE"/>
        </w:rPr>
        <w:t> </w:t>
      </w:r>
      <w:r w:rsidRPr="00F70354">
        <w:rPr>
          <w:rFonts w:ascii="Arial" w:hAnsi="Arial" w:cs="Arial"/>
          <w:lang w:val="fr-BE"/>
        </w:rPr>
        <w:t>% à 7</w:t>
      </w:r>
      <w:r w:rsidR="001B3FB8" w:rsidRPr="00F70354">
        <w:rPr>
          <w:rFonts w:ascii="Arial" w:hAnsi="Arial" w:cs="Arial"/>
          <w:lang w:val="fr-BE"/>
        </w:rPr>
        <w:t> </w:t>
      </w:r>
      <w:r w:rsidRPr="00F70354">
        <w:rPr>
          <w:rFonts w:ascii="Arial" w:hAnsi="Arial" w:cs="Arial"/>
          <w:lang w:val="fr-BE"/>
        </w:rPr>
        <w:t>% en Wallonie.</w:t>
      </w:r>
    </w:p>
    <w:p w14:paraId="4C22C1DC" w14:textId="41857CBA" w:rsidR="00233CD0" w:rsidRPr="00BA56CC" w:rsidRDefault="00233CD0" w:rsidP="00233CD0">
      <w:pPr>
        <w:pStyle w:val="Lgende"/>
        <w:keepNext/>
        <w:rPr>
          <w:lang w:val="fr-BE"/>
        </w:rPr>
      </w:pPr>
      <w:r w:rsidRPr="00BA56CC">
        <w:rPr>
          <w:lang w:val="fr-BE"/>
        </w:rPr>
        <w:t xml:space="preserve">Figure </w:t>
      </w:r>
      <w:r w:rsidRPr="00BA56CC">
        <w:rPr>
          <w:lang w:val="fr-BE"/>
        </w:rPr>
        <w:fldChar w:fldCharType="begin"/>
      </w:r>
      <w:r w:rsidRPr="00BA56CC">
        <w:rPr>
          <w:lang w:val="fr-BE"/>
        </w:rPr>
        <w:instrText xml:space="preserve"> SEQ Figure \* ARABIC </w:instrText>
      </w:r>
      <w:r w:rsidRPr="00BA56CC">
        <w:rPr>
          <w:lang w:val="fr-BE"/>
        </w:rPr>
        <w:fldChar w:fldCharType="separate"/>
      </w:r>
      <w:r w:rsidR="004126B1">
        <w:rPr>
          <w:noProof/>
          <w:lang w:val="fr-BE"/>
        </w:rPr>
        <w:t>3</w:t>
      </w:r>
      <w:r w:rsidRPr="00BA56CC">
        <w:rPr>
          <w:lang w:val="fr-BE"/>
        </w:rPr>
        <w:fldChar w:fldCharType="end"/>
      </w:r>
      <w:r w:rsidRPr="00BA56CC">
        <w:rPr>
          <w:lang w:val="fr-BE"/>
        </w:rPr>
        <w:t xml:space="preserve">: Polymédication et hyperpolymédication parmi les résidents en </w:t>
      </w:r>
      <w:r w:rsidR="004126B1">
        <w:rPr>
          <w:lang w:val="fr-BE"/>
        </w:rPr>
        <w:t>maison de repos</w:t>
      </w:r>
      <w:r w:rsidR="00735AED">
        <w:rPr>
          <w:lang w:val="fr-BE"/>
        </w:rPr>
        <w:t>.</w:t>
      </w:r>
      <w:r w:rsidR="00735AED" w:rsidRPr="004126B1">
        <w:rPr>
          <w:lang w:val="fr-BE"/>
        </w:rPr>
        <w:t xml:space="preserve"> </w:t>
      </w:r>
      <w:r w:rsidR="00735AED">
        <w:rPr>
          <w:lang w:val="fr-BE"/>
        </w:rPr>
        <w:t>Source : Mutualités Libres</w:t>
      </w:r>
    </w:p>
    <w:p w14:paraId="2F760EE8" w14:textId="2006E117" w:rsidR="00853358" w:rsidRPr="00BA56CC" w:rsidRDefault="00853358" w:rsidP="00853358">
      <w:pPr>
        <w:spacing w:after="0"/>
        <w:rPr>
          <w:lang w:val="fr-BE"/>
        </w:rPr>
      </w:pPr>
      <w:r w:rsidRPr="00BA56CC">
        <w:rPr>
          <w:noProof/>
          <w:lang w:val="fr-BE"/>
        </w:rPr>
        <w:drawing>
          <wp:inline distT="0" distB="0" distL="0" distR="0" wp14:anchorId="6A492166" wp14:editId="06D54AB3">
            <wp:extent cx="5684293" cy="2628047"/>
            <wp:effectExtent l="0" t="0" r="12065" b="1270"/>
            <wp:docPr id="4" name="Chart 4">
              <a:extLst xmlns:a="http://schemas.openxmlformats.org/drawingml/2006/main">
                <a:ext uri="{FF2B5EF4-FFF2-40B4-BE49-F238E27FC236}">
                  <a16:creationId xmlns:a16="http://schemas.microsoft.com/office/drawing/2014/main" id="{4D83C859-0F39-48E2-8139-120FD15008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B0F779" w14:textId="3630FA6D" w:rsidR="000056E3" w:rsidRPr="00F70354" w:rsidRDefault="000056E3" w:rsidP="00C22D59">
      <w:pPr>
        <w:spacing w:after="100" w:afterAutospacing="1"/>
        <w:jc w:val="both"/>
        <w:rPr>
          <w:rFonts w:ascii="Arial" w:hAnsi="Arial" w:cs="Arial"/>
          <w:lang w:val="fr-BE"/>
        </w:rPr>
      </w:pPr>
      <w:r w:rsidRPr="00F70354">
        <w:rPr>
          <w:rFonts w:ascii="Arial" w:hAnsi="Arial" w:cs="Arial"/>
          <w:lang w:val="fr-BE"/>
        </w:rPr>
        <w:lastRenderedPageBreak/>
        <w:t xml:space="preserve">La figure </w:t>
      </w:r>
      <w:r w:rsidR="004126B1" w:rsidRPr="00F70354">
        <w:rPr>
          <w:rFonts w:ascii="Arial" w:hAnsi="Arial" w:cs="Arial"/>
          <w:lang w:val="fr-BE"/>
        </w:rPr>
        <w:t>4</w:t>
      </w:r>
      <w:r w:rsidRPr="00F70354">
        <w:rPr>
          <w:rFonts w:ascii="Arial" w:hAnsi="Arial" w:cs="Arial"/>
          <w:lang w:val="fr-BE"/>
        </w:rPr>
        <w:t xml:space="preserve"> montre une diminution (entre 2013 et 2020) du nombre de médicaments utilisés (moyenne et médiane) par les résidents en maison de repos aussi bien à Bruxelles qu’en Wallonie. Ce constat est également valable pour </w:t>
      </w:r>
      <w:r w:rsidR="00C22D59" w:rsidRPr="00F70354">
        <w:rPr>
          <w:rFonts w:ascii="Arial" w:hAnsi="Arial" w:cs="Arial"/>
          <w:lang w:val="fr-BE"/>
        </w:rPr>
        <w:t xml:space="preserve">les </w:t>
      </w:r>
      <w:r w:rsidRPr="00F70354">
        <w:rPr>
          <w:rFonts w:ascii="Arial" w:hAnsi="Arial" w:cs="Arial"/>
          <w:lang w:val="fr-BE"/>
        </w:rPr>
        <w:t xml:space="preserve">médicaments </w:t>
      </w:r>
      <w:r w:rsidR="00C22D59" w:rsidRPr="00F70354">
        <w:rPr>
          <w:rFonts w:ascii="Arial" w:hAnsi="Arial" w:cs="Arial"/>
          <w:lang w:val="fr-BE"/>
        </w:rPr>
        <w:t xml:space="preserve">utilisés de manière </w:t>
      </w:r>
      <w:r w:rsidR="00BC3D00" w:rsidRPr="00F70354">
        <w:rPr>
          <w:rFonts w:ascii="Arial" w:hAnsi="Arial" w:cs="Arial"/>
          <w:lang w:val="fr-BE"/>
        </w:rPr>
        <w:t>régulière/</w:t>
      </w:r>
      <w:r w:rsidR="00C22D59" w:rsidRPr="00F70354">
        <w:rPr>
          <w:rFonts w:ascii="Arial" w:hAnsi="Arial" w:cs="Arial"/>
          <w:lang w:val="fr-BE"/>
        </w:rPr>
        <w:t xml:space="preserve">chronique, c’est-à-dire pendant au moins 90 jours pendant l’année. Notons que les résidents </w:t>
      </w:r>
      <w:r w:rsidR="001B3FB8" w:rsidRPr="00F70354">
        <w:rPr>
          <w:rFonts w:ascii="Arial" w:hAnsi="Arial" w:cs="Arial"/>
          <w:lang w:val="fr-BE"/>
        </w:rPr>
        <w:t xml:space="preserve">de </w:t>
      </w:r>
      <w:r w:rsidR="00C22D59" w:rsidRPr="00F70354">
        <w:rPr>
          <w:rFonts w:ascii="Arial" w:hAnsi="Arial" w:cs="Arial"/>
          <w:lang w:val="fr-BE"/>
        </w:rPr>
        <w:t>maison</w:t>
      </w:r>
      <w:r w:rsidR="001B3FB8" w:rsidRPr="00F70354">
        <w:rPr>
          <w:rFonts w:ascii="Arial" w:hAnsi="Arial" w:cs="Arial"/>
          <w:lang w:val="fr-BE"/>
        </w:rPr>
        <w:t>s</w:t>
      </w:r>
      <w:r w:rsidR="00C22D59" w:rsidRPr="00F70354">
        <w:rPr>
          <w:rFonts w:ascii="Arial" w:hAnsi="Arial" w:cs="Arial"/>
          <w:lang w:val="fr-BE"/>
        </w:rPr>
        <w:t xml:space="preserve"> de repos implantée</w:t>
      </w:r>
      <w:r w:rsidR="001B3FB8" w:rsidRPr="00F70354">
        <w:rPr>
          <w:rFonts w:ascii="Arial" w:hAnsi="Arial" w:cs="Arial"/>
          <w:lang w:val="fr-BE"/>
        </w:rPr>
        <w:t>s</w:t>
      </w:r>
      <w:r w:rsidR="00C22D59" w:rsidRPr="00F70354">
        <w:rPr>
          <w:rFonts w:ascii="Arial" w:hAnsi="Arial" w:cs="Arial"/>
          <w:lang w:val="fr-BE"/>
        </w:rPr>
        <w:t xml:space="preserve"> à Bruxelles utilisent moins de médicaments que ceux qui résident en Wallonie. </w:t>
      </w:r>
    </w:p>
    <w:p w14:paraId="3188A7F2" w14:textId="7DA5178D" w:rsidR="00233CD0" w:rsidRPr="00BA56CC" w:rsidRDefault="00233CD0" w:rsidP="00233CD0">
      <w:pPr>
        <w:pStyle w:val="Lgende"/>
        <w:keepNext/>
        <w:rPr>
          <w:lang w:val="fr-BE"/>
        </w:rPr>
      </w:pPr>
      <w:r w:rsidRPr="00BA56CC">
        <w:rPr>
          <w:lang w:val="fr-BE"/>
        </w:rPr>
        <w:t xml:space="preserve">Figure </w:t>
      </w:r>
      <w:r w:rsidRPr="00BA56CC">
        <w:rPr>
          <w:lang w:val="fr-BE"/>
        </w:rPr>
        <w:fldChar w:fldCharType="begin"/>
      </w:r>
      <w:r w:rsidRPr="00BA56CC">
        <w:rPr>
          <w:lang w:val="fr-BE"/>
        </w:rPr>
        <w:instrText xml:space="preserve"> SEQ Figure \* ARABIC </w:instrText>
      </w:r>
      <w:r w:rsidRPr="00BA56CC">
        <w:rPr>
          <w:lang w:val="fr-BE"/>
        </w:rPr>
        <w:fldChar w:fldCharType="separate"/>
      </w:r>
      <w:r w:rsidR="004126B1">
        <w:rPr>
          <w:noProof/>
          <w:lang w:val="fr-BE"/>
        </w:rPr>
        <w:t>4</w:t>
      </w:r>
      <w:r w:rsidRPr="00BA56CC">
        <w:rPr>
          <w:lang w:val="fr-BE"/>
        </w:rPr>
        <w:fldChar w:fldCharType="end"/>
      </w:r>
      <w:r w:rsidRPr="00BA56CC">
        <w:rPr>
          <w:lang w:val="fr-BE"/>
        </w:rPr>
        <w:t xml:space="preserve">: Moyenne et médiane du nombre de médicaments utilisés par les résidents en </w:t>
      </w:r>
      <w:r w:rsidR="004126B1">
        <w:rPr>
          <w:lang w:val="fr-BE"/>
        </w:rPr>
        <w:t>maison de repos</w:t>
      </w:r>
      <w:r w:rsidR="00735AED">
        <w:rPr>
          <w:lang w:val="fr-BE"/>
        </w:rPr>
        <w:t>.</w:t>
      </w:r>
      <w:r w:rsidR="00735AED" w:rsidRPr="004126B1">
        <w:rPr>
          <w:lang w:val="fr-BE"/>
        </w:rPr>
        <w:t xml:space="preserve"> </w:t>
      </w:r>
      <w:r w:rsidR="00735AED">
        <w:rPr>
          <w:lang w:val="fr-BE"/>
        </w:rPr>
        <w:t>Source : Mutualités Libres</w:t>
      </w:r>
    </w:p>
    <w:p w14:paraId="133B394F" w14:textId="42F5FF9B" w:rsidR="00AF4E69" w:rsidRPr="00BA56CC" w:rsidRDefault="00AF4E69" w:rsidP="00AF4E69">
      <w:pPr>
        <w:spacing w:after="0"/>
        <w:rPr>
          <w:lang w:val="fr-BE"/>
        </w:rPr>
      </w:pPr>
      <w:r w:rsidRPr="00BA56CC">
        <w:rPr>
          <w:noProof/>
          <w:lang w:val="fr-BE"/>
        </w:rPr>
        <w:drawing>
          <wp:inline distT="0" distB="0" distL="0" distR="0" wp14:anchorId="58772DA5" wp14:editId="414CB347">
            <wp:extent cx="5697940" cy="3546172"/>
            <wp:effectExtent l="0" t="0" r="17145" b="16510"/>
            <wp:docPr id="1" name="Chart 1">
              <a:extLst xmlns:a="http://schemas.openxmlformats.org/drawingml/2006/main">
                <a:ext uri="{FF2B5EF4-FFF2-40B4-BE49-F238E27FC236}">
                  <a16:creationId xmlns:a16="http://schemas.microsoft.com/office/drawing/2014/main" id="{639ABCBF-E0D1-42E7-A81B-1D93566391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37F962" w14:textId="77777777" w:rsidR="00F70354" w:rsidRDefault="00F70354" w:rsidP="004C64E5">
      <w:pPr>
        <w:spacing w:after="100" w:afterAutospacing="1"/>
        <w:jc w:val="both"/>
        <w:rPr>
          <w:lang w:val="fr-BE"/>
        </w:rPr>
      </w:pPr>
    </w:p>
    <w:p w14:paraId="2AD0CE8F" w14:textId="7A100FB8" w:rsidR="00721E95" w:rsidRPr="00F70354" w:rsidRDefault="00917C57" w:rsidP="004C64E5">
      <w:pPr>
        <w:spacing w:after="100" w:afterAutospacing="1"/>
        <w:jc w:val="both"/>
        <w:rPr>
          <w:rFonts w:ascii="Arial" w:hAnsi="Arial" w:cs="Arial"/>
          <w:lang w:val="fr-BE"/>
        </w:rPr>
      </w:pPr>
      <w:r w:rsidRPr="00F70354">
        <w:rPr>
          <w:rFonts w:ascii="Arial" w:hAnsi="Arial" w:cs="Arial"/>
          <w:lang w:val="fr-BE"/>
        </w:rPr>
        <w:t xml:space="preserve">Contrairement aux deux </w:t>
      </w:r>
      <w:r w:rsidR="00491C99" w:rsidRPr="00F70354">
        <w:rPr>
          <w:rFonts w:ascii="Arial" w:hAnsi="Arial" w:cs="Arial"/>
          <w:lang w:val="fr-BE"/>
        </w:rPr>
        <w:t>précédentes</w:t>
      </w:r>
      <w:r w:rsidRPr="00F70354">
        <w:rPr>
          <w:rFonts w:ascii="Arial" w:hAnsi="Arial" w:cs="Arial"/>
          <w:lang w:val="fr-BE"/>
        </w:rPr>
        <w:t xml:space="preserve"> figures où nous constat</w:t>
      </w:r>
      <w:r w:rsidR="00FB02D1" w:rsidRPr="00F70354">
        <w:rPr>
          <w:rFonts w:ascii="Arial" w:hAnsi="Arial" w:cs="Arial"/>
          <w:lang w:val="fr-BE"/>
        </w:rPr>
        <w:t>i</w:t>
      </w:r>
      <w:r w:rsidRPr="00F70354">
        <w:rPr>
          <w:rFonts w:ascii="Arial" w:hAnsi="Arial" w:cs="Arial"/>
          <w:lang w:val="fr-BE"/>
        </w:rPr>
        <w:t xml:space="preserve">ons une évolution favorable, la proportion d’utilisateurs d’antidépresseurs parmi les résidents en maison de repos reste élevée et relativement stable à Bruxelles </w:t>
      </w:r>
      <w:r w:rsidR="00EE141F" w:rsidRPr="00F70354">
        <w:rPr>
          <w:rFonts w:ascii="Arial" w:hAnsi="Arial" w:cs="Arial"/>
          <w:lang w:val="fr-BE"/>
        </w:rPr>
        <w:t>et en</w:t>
      </w:r>
      <w:r w:rsidRPr="00F70354">
        <w:rPr>
          <w:rFonts w:ascii="Arial" w:hAnsi="Arial" w:cs="Arial"/>
          <w:lang w:val="fr-BE"/>
        </w:rPr>
        <w:t xml:space="preserve"> Wallonie entre 2013 et 2020</w:t>
      </w:r>
      <w:r w:rsidR="00491C99" w:rsidRPr="00F70354">
        <w:rPr>
          <w:rFonts w:ascii="Arial" w:hAnsi="Arial" w:cs="Arial"/>
          <w:lang w:val="fr-BE"/>
        </w:rPr>
        <w:t xml:space="preserve"> (figure </w:t>
      </w:r>
      <w:r w:rsidR="004126B1" w:rsidRPr="00F70354">
        <w:rPr>
          <w:rFonts w:ascii="Arial" w:hAnsi="Arial" w:cs="Arial"/>
          <w:lang w:val="fr-BE"/>
        </w:rPr>
        <w:t>5</w:t>
      </w:r>
      <w:r w:rsidR="00491C99" w:rsidRPr="00F70354">
        <w:rPr>
          <w:rFonts w:ascii="Arial" w:hAnsi="Arial" w:cs="Arial"/>
          <w:lang w:val="fr-BE"/>
        </w:rPr>
        <w:t>)</w:t>
      </w:r>
      <w:r w:rsidRPr="00F70354">
        <w:rPr>
          <w:rFonts w:ascii="Arial" w:hAnsi="Arial" w:cs="Arial"/>
          <w:lang w:val="fr-BE"/>
        </w:rPr>
        <w:t xml:space="preserve">. </w:t>
      </w:r>
      <w:r w:rsidR="00EE141F" w:rsidRPr="00F70354">
        <w:rPr>
          <w:rFonts w:ascii="Arial" w:hAnsi="Arial" w:cs="Arial"/>
          <w:lang w:val="fr-BE"/>
        </w:rPr>
        <w:t>Aussi bien en 2013 qu’en 2019 et 2020, un peu p</w:t>
      </w:r>
      <w:r w:rsidRPr="00F70354">
        <w:rPr>
          <w:rFonts w:ascii="Arial" w:hAnsi="Arial" w:cs="Arial"/>
          <w:lang w:val="fr-BE"/>
        </w:rPr>
        <w:t xml:space="preserve">lus de la moitié des résidents en maison de repos ont utilisé au moins un antidépresseur et près de la moitié d’entre eux ont utilisé de manière chronique ces médicaments (c’est-à-dire pendant au moins 90 jours dans le courant d’une année). </w:t>
      </w:r>
      <w:r w:rsidR="00EE141F" w:rsidRPr="00F70354">
        <w:rPr>
          <w:rFonts w:ascii="Arial" w:hAnsi="Arial" w:cs="Arial"/>
          <w:lang w:val="fr-BE"/>
        </w:rPr>
        <w:t>Cela témoigne que les utilisateurs d’antidépresseurs sont principalement des utilisateurs réguliers</w:t>
      </w:r>
      <w:r w:rsidR="00FB02D1" w:rsidRPr="00F70354">
        <w:rPr>
          <w:rFonts w:ascii="Arial" w:hAnsi="Arial" w:cs="Arial"/>
          <w:lang w:val="fr-BE"/>
        </w:rPr>
        <w:t>/chroniques</w:t>
      </w:r>
      <w:r w:rsidR="00EE141F" w:rsidRPr="00F70354">
        <w:rPr>
          <w:rFonts w:ascii="Arial" w:hAnsi="Arial" w:cs="Arial"/>
          <w:lang w:val="fr-BE"/>
        </w:rPr>
        <w:t xml:space="preserve">. </w:t>
      </w:r>
      <w:r w:rsidRPr="00F70354">
        <w:rPr>
          <w:rFonts w:ascii="Arial" w:hAnsi="Arial" w:cs="Arial"/>
          <w:lang w:val="fr-BE"/>
        </w:rPr>
        <w:t>La situation à Bruxelles ne diffère pas significativement de celle de la Wallonie.</w:t>
      </w:r>
    </w:p>
    <w:p w14:paraId="2D4B7EAE" w14:textId="425E6581" w:rsidR="00233CD0" w:rsidRPr="00BA56CC" w:rsidRDefault="00233CD0" w:rsidP="00233CD0">
      <w:pPr>
        <w:pStyle w:val="Lgende"/>
        <w:keepNext/>
        <w:rPr>
          <w:lang w:val="fr-BE"/>
        </w:rPr>
      </w:pPr>
      <w:r w:rsidRPr="00BA56CC">
        <w:rPr>
          <w:lang w:val="fr-BE"/>
        </w:rPr>
        <w:lastRenderedPageBreak/>
        <w:t xml:space="preserve">Figure </w:t>
      </w:r>
      <w:r w:rsidRPr="00BA56CC">
        <w:rPr>
          <w:lang w:val="fr-BE"/>
        </w:rPr>
        <w:fldChar w:fldCharType="begin"/>
      </w:r>
      <w:r w:rsidRPr="00BA56CC">
        <w:rPr>
          <w:lang w:val="fr-BE"/>
        </w:rPr>
        <w:instrText xml:space="preserve"> SEQ Figure \* ARABIC </w:instrText>
      </w:r>
      <w:r w:rsidRPr="00BA56CC">
        <w:rPr>
          <w:lang w:val="fr-BE"/>
        </w:rPr>
        <w:fldChar w:fldCharType="separate"/>
      </w:r>
      <w:r w:rsidR="004126B1">
        <w:rPr>
          <w:noProof/>
          <w:lang w:val="fr-BE"/>
        </w:rPr>
        <w:t>5</w:t>
      </w:r>
      <w:r w:rsidRPr="00BA56CC">
        <w:rPr>
          <w:lang w:val="fr-BE"/>
        </w:rPr>
        <w:fldChar w:fldCharType="end"/>
      </w:r>
      <w:r w:rsidRPr="00BA56CC">
        <w:rPr>
          <w:lang w:val="fr-BE"/>
        </w:rPr>
        <w:t xml:space="preserve">: Proportion d'utilisateurs d'antidépresseurs en </w:t>
      </w:r>
      <w:r w:rsidR="004126B1">
        <w:rPr>
          <w:lang w:val="fr-BE"/>
        </w:rPr>
        <w:t>maison de repos.</w:t>
      </w:r>
      <w:r w:rsidR="004126B1" w:rsidRPr="004126B1">
        <w:rPr>
          <w:lang w:val="fr-BE"/>
        </w:rPr>
        <w:t xml:space="preserve"> </w:t>
      </w:r>
      <w:r w:rsidR="004126B1">
        <w:rPr>
          <w:lang w:val="fr-BE"/>
        </w:rPr>
        <w:t>Source : Mutualités Libres</w:t>
      </w:r>
    </w:p>
    <w:p w14:paraId="2D5457E3" w14:textId="725BA563" w:rsidR="00AB3669" w:rsidRPr="00BA56CC" w:rsidRDefault="00AB3669" w:rsidP="00AB3669">
      <w:pPr>
        <w:spacing w:after="0"/>
        <w:rPr>
          <w:lang w:val="fr-BE"/>
        </w:rPr>
      </w:pPr>
      <w:r w:rsidRPr="00BA56CC">
        <w:rPr>
          <w:noProof/>
          <w:lang w:val="fr-BE"/>
        </w:rPr>
        <w:drawing>
          <wp:inline distT="0" distB="0" distL="0" distR="0" wp14:anchorId="466D46BC" wp14:editId="3FB5E3AD">
            <wp:extent cx="5697940" cy="3068528"/>
            <wp:effectExtent l="0" t="0" r="17145" b="17780"/>
            <wp:docPr id="5" name="Chart 5">
              <a:extLst xmlns:a="http://schemas.openxmlformats.org/drawingml/2006/main">
                <a:ext uri="{FF2B5EF4-FFF2-40B4-BE49-F238E27FC236}">
                  <a16:creationId xmlns:a16="http://schemas.microsoft.com/office/drawing/2014/main" id="{7095DBA8-287B-4EB6-809F-831DF6C56C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6A858A" w14:textId="77777777" w:rsidR="00F70354" w:rsidRPr="00AA043F" w:rsidRDefault="00F70354" w:rsidP="00996212">
      <w:pPr>
        <w:spacing w:after="100" w:afterAutospacing="1"/>
        <w:jc w:val="both"/>
        <w:rPr>
          <w:rFonts w:ascii="Arial" w:hAnsi="Arial" w:cs="Arial"/>
          <w:lang w:val="fr-BE"/>
        </w:rPr>
      </w:pPr>
    </w:p>
    <w:p w14:paraId="63478752" w14:textId="000E9B5A" w:rsidR="00917C57" w:rsidRPr="00AA043F" w:rsidRDefault="00EE141F" w:rsidP="00996212">
      <w:pPr>
        <w:spacing w:after="100" w:afterAutospacing="1"/>
        <w:jc w:val="both"/>
        <w:rPr>
          <w:rFonts w:ascii="Arial" w:hAnsi="Arial" w:cs="Arial"/>
          <w:lang w:val="fr-BE"/>
        </w:rPr>
      </w:pPr>
      <w:r w:rsidRPr="00AA043F">
        <w:rPr>
          <w:rFonts w:ascii="Arial" w:hAnsi="Arial" w:cs="Arial"/>
          <w:lang w:val="fr-BE"/>
        </w:rPr>
        <w:t xml:space="preserve">La figure </w:t>
      </w:r>
      <w:r w:rsidR="004126B1" w:rsidRPr="00AA043F">
        <w:rPr>
          <w:rFonts w:ascii="Arial" w:hAnsi="Arial" w:cs="Arial"/>
          <w:lang w:val="fr-BE"/>
        </w:rPr>
        <w:t>6</w:t>
      </w:r>
      <w:r w:rsidRPr="00AA043F">
        <w:rPr>
          <w:rFonts w:ascii="Arial" w:hAnsi="Arial" w:cs="Arial"/>
          <w:lang w:val="fr-BE"/>
        </w:rPr>
        <w:t xml:space="preserve"> montre une baisse (entre 2013 et 2020) de la proportion d’utilisateurs d’antipsychotiques </w:t>
      </w:r>
      <w:r w:rsidR="00342A0C" w:rsidRPr="00AA043F">
        <w:rPr>
          <w:rFonts w:ascii="Arial" w:hAnsi="Arial" w:cs="Arial"/>
          <w:lang w:val="fr-BE"/>
        </w:rPr>
        <w:t xml:space="preserve">en maison de repos </w:t>
      </w:r>
      <w:r w:rsidRPr="00AA043F">
        <w:rPr>
          <w:rFonts w:ascii="Arial" w:hAnsi="Arial" w:cs="Arial"/>
          <w:lang w:val="fr-BE"/>
        </w:rPr>
        <w:t xml:space="preserve">à Bruxelles </w:t>
      </w:r>
      <w:r w:rsidR="00342A0C" w:rsidRPr="00AA043F">
        <w:rPr>
          <w:rFonts w:ascii="Arial" w:hAnsi="Arial" w:cs="Arial"/>
          <w:lang w:val="fr-BE"/>
        </w:rPr>
        <w:t xml:space="preserve">et </w:t>
      </w:r>
      <w:r w:rsidRPr="00AA043F">
        <w:rPr>
          <w:rFonts w:ascii="Arial" w:hAnsi="Arial" w:cs="Arial"/>
          <w:lang w:val="fr-BE"/>
        </w:rPr>
        <w:t xml:space="preserve">en Wallonie. </w:t>
      </w:r>
      <w:r w:rsidR="00F96BC0" w:rsidRPr="00AA043F">
        <w:rPr>
          <w:rFonts w:ascii="Arial" w:hAnsi="Arial" w:cs="Arial"/>
          <w:lang w:val="fr-BE"/>
        </w:rPr>
        <w:t>Dans ces deux régions</w:t>
      </w:r>
      <w:r w:rsidR="004C64E5" w:rsidRPr="00AA043F">
        <w:rPr>
          <w:rFonts w:ascii="Arial" w:hAnsi="Arial" w:cs="Arial"/>
          <w:lang w:val="fr-BE"/>
        </w:rPr>
        <w:t xml:space="preserve">, </w:t>
      </w:r>
      <w:r w:rsidR="00F96BC0" w:rsidRPr="00AA043F">
        <w:rPr>
          <w:rFonts w:ascii="Arial" w:hAnsi="Arial" w:cs="Arial"/>
          <w:lang w:val="fr-BE"/>
        </w:rPr>
        <w:t xml:space="preserve">environ </w:t>
      </w:r>
      <w:r w:rsidR="004C64E5" w:rsidRPr="00AA043F">
        <w:rPr>
          <w:rFonts w:ascii="Arial" w:hAnsi="Arial" w:cs="Arial"/>
          <w:lang w:val="fr-BE"/>
        </w:rPr>
        <w:t xml:space="preserve">un résident en maison de repos sur trois </w:t>
      </w:r>
      <w:r w:rsidR="001B3FB8" w:rsidRPr="00AA043F">
        <w:rPr>
          <w:rFonts w:ascii="Arial" w:hAnsi="Arial" w:cs="Arial"/>
          <w:lang w:val="fr-BE"/>
        </w:rPr>
        <w:t>a</w:t>
      </w:r>
      <w:r w:rsidR="004C64E5" w:rsidRPr="00AA043F">
        <w:rPr>
          <w:rFonts w:ascii="Arial" w:hAnsi="Arial" w:cs="Arial"/>
          <w:lang w:val="fr-BE"/>
        </w:rPr>
        <w:t xml:space="preserve"> utilisé au moins un antipsychotique pendant les années 2013, 2019 et 2020. </w:t>
      </w:r>
      <w:r w:rsidRPr="00AA043F">
        <w:rPr>
          <w:rFonts w:ascii="Arial" w:hAnsi="Arial" w:cs="Arial"/>
          <w:lang w:val="fr-BE"/>
        </w:rPr>
        <w:t xml:space="preserve">Contrairement aux antidépresseurs, </w:t>
      </w:r>
      <w:r w:rsidR="004126B1" w:rsidRPr="00AA043F">
        <w:rPr>
          <w:rFonts w:ascii="Arial" w:hAnsi="Arial" w:cs="Arial"/>
          <w:lang w:val="fr-BE"/>
        </w:rPr>
        <w:t>seulement une petite</w:t>
      </w:r>
      <w:r w:rsidRPr="00AA043F">
        <w:rPr>
          <w:rFonts w:ascii="Arial" w:hAnsi="Arial" w:cs="Arial"/>
          <w:lang w:val="fr-BE"/>
        </w:rPr>
        <w:t xml:space="preserve"> partie (environ un tiers) des utilisateurs d’antipsychotiques utilisent ces médicaments de manière régulière </w:t>
      </w:r>
      <w:r w:rsidR="00F96BC0" w:rsidRPr="00AA043F">
        <w:rPr>
          <w:rFonts w:ascii="Arial" w:hAnsi="Arial" w:cs="Arial"/>
          <w:lang w:val="fr-BE"/>
        </w:rPr>
        <w:t xml:space="preserve">(au moins 90 jours) </w:t>
      </w:r>
      <w:r w:rsidRPr="00AA043F">
        <w:rPr>
          <w:rFonts w:ascii="Arial" w:hAnsi="Arial" w:cs="Arial"/>
          <w:lang w:val="fr-BE"/>
        </w:rPr>
        <w:t xml:space="preserve">pendant l’année. </w:t>
      </w:r>
      <w:r w:rsidR="00F96BC0" w:rsidRPr="00AA043F">
        <w:rPr>
          <w:rFonts w:ascii="Arial" w:hAnsi="Arial" w:cs="Arial"/>
          <w:lang w:val="fr-BE"/>
        </w:rPr>
        <w:t>Si on compare la Wallonie</w:t>
      </w:r>
      <w:r w:rsidRPr="00AA043F">
        <w:rPr>
          <w:rFonts w:ascii="Arial" w:hAnsi="Arial" w:cs="Arial"/>
          <w:lang w:val="fr-BE"/>
        </w:rPr>
        <w:t xml:space="preserve"> à Bruxelles, nous constatons que les résidents en maison de repos en Wallonie sont proportionnellement plus nombreux à utiliser des antipsychotiques de manière occasionnelle alors que la situation est similaire pour les utilisateurs réguliers.</w:t>
      </w:r>
    </w:p>
    <w:p w14:paraId="1DFEE285" w14:textId="13BDE3C3" w:rsidR="00233CD0" w:rsidRPr="00BA56CC" w:rsidRDefault="00233CD0" w:rsidP="00233CD0">
      <w:pPr>
        <w:pStyle w:val="Lgende"/>
        <w:keepNext/>
        <w:rPr>
          <w:lang w:val="fr-BE"/>
        </w:rPr>
      </w:pPr>
      <w:r w:rsidRPr="00BA56CC">
        <w:rPr>
          <w:lang w:val="fr-BE"/>
        </w:rPr>
        <w:t xml:space="preserve">Figure </w:t>
      </w:r>
      <w:r w:rsidRPr="00BA56CC">
        <w:rPr>
          <w:lang w:val="fr-BE"/>
        </w:rPr>
        <w:fldChar w:fldCharType="begin"/>
      </w:r>
      <w:r w:rsidRPr="00BA56CC">
        <w:rPr>
          <w:lang w:val="fr-BE"/>
        </w:rPr>
        <w:instrText xml:space="preserve"> SEQ Figure \* ARABIC </w:instrText>
      </w:r>
      <w:r w:rsidRPr="00BA56CC">
        <w:rPr>
          <w:lang w:val="fr-BE"/>
        </w:rPr>
        <w:fldChar w:fldCharType="separate"/>
      </w:r>
      <w:r w:rsidR="004126B1">
        <w:rPr>
          <w:noProof/>
          <w:lang w:val="fr-BE"/>
        </w:rPr>
        <w:t>6</w:t>
      </w:r>
      <w:r w:rsidRPr="00BA56CC">
        <w:rPr>
          <w:lang w:val="fr-BE"/>
        </w:rPr>
        <w:fldChar w:fldCharType="end"/>
      </w:r>
      <w:r w:rsidRPr="00BA56CC">
        <w:rPr>
          <w:lang w:val="fr-BE"/>
        </w:rPr>
        <w:t xml:space="preserve">: Proportion d'utilisateurs d'antipsychotiques en </w:t>
      </w:r>
      <w:r w:rsidR="004126B1">
        <w:rPr>
          <w:lang w:val="fr-BE"/>
        </w:rPr>
        <w:t>maison de repos. Source : Mutualités Libres</w:t>
      </w:r>
    </w:p>
    <w:p w14:paraId="3E6ED9C7" w14:textId="34EF5645" w:rsidR="00AB3669" w:rsidRPr="00BA56CC" w:rsidRDefault="00AB3669" w:rsidP="00AB3669">
      <w:pPr>
        <w:spacing w:after="0"/>
        <w:rPr>
          <w:lang w:val="fr-BE"/>
        </w:rPr>
      </w:pPr>
      <w:r w:rsidRPr="00BA56CC">
        <w:rPr>
          <w:noProof/>
          <w:lang w:val="fr-BE"/>
        </w:rPr>
        <w:drawing>
          <wp:inline distT="0" distB="0" distL="0" distR="0" wp14:anchorId="5CCD6A09" wp14:editId="59C5E2E5">
            <wp:extent cx="5730240" cy="3108960"/>
            <wp:effectExtent l="0" t="0" r="3810" b="15240"/>
            <wp:docPr id="6" name="Chart 6">
              <a:extLst xmlns:a="http://schemas.openxmlformats.org/drawingml/2006/main">
                <a:ext uri="{FF2B5EF4-FFF2-40B4-BE49-F238E27FC236}">
                  <a16:creationId xmlns:a16="http://schemas.microsoft.com/office/drawing/2014/main" id="{68870FDE-6445-4FBD-B0F8-F0AB160448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CA5038" w14:textId="014F9965" w:rsidR="00D34ED8" w:rsidRPr="00AA043F" w:rsidRDefault="00233CD0" w:rsidP="00233CD0">
      <w:pPr>
        <w:pStyle w:val="Titre1"/>
        <w:rPr>
          <w:rFonts w:ascii="Arial" w:hAnsi="Arial" w:cs="Arial"/>
          <w:b/>
          <w:bCs/>
          <w:color w:val="auto"/>
          <w:sz w:val="26"/>
          <w:szCs w:val="26"/>
          <w:lang w:val="fr-BE"/>
        </w:rPr>
      </w:pPr>
      <w:r w:rsidRPr="00AA043F">
        <w:rPr>
          <w:rFonts w:ascii="Arial" w:hAnsi="Arial" w:cs="Arial"/>
          <w:b/>
          <w:bCs/>
          <w:color w:val="auto"/>
          <w:sz w:val="26"/>
          <w:szCs w:val="26"/>
          <w:lang w:val="fr-BE"/>
        </w:rPr>
        <w:lastRenderedPageBreak/>
        <w:t>Conclusion</w:t>
      </w:r>
    </w:p>
    <w:p w14:paraId="65BC78E1" w14:textId="77777777" w:rsidR="00F70354" w:rsidRPr="00AA043F" w:rsidRDefault="00F70354" w:rsidP="00F70354">
      <w:pPr>
        <w:rPr>
          <w:rFonts w:ascii="Arial" w:hAnsi="Arial" w:cs="Arial"/>
          <w:sz w:val="26"/>
          <w:szCs w:val="26"/>
          <w:lang w:val="fr-BE"/>
        </w:rPr>
      </w:pPr>
    </w:p>
    <w:p w14:paraId="21F7B8AA" w14:textId="10DBBD75" w:rsidR="00531C1C" w:rsidRPr="00AA043F" w:rsidRDefault="006A1A39" w:rsidP="006A1A39">
      <w:pPr>
        <w:jc w:val="both"/>
        <w:rPr>
          <w:rFonts w:ascii="Arial" w:hAnsi="Arial" w:cs="Arial"/>
          <w:lang w:val="fr-BE"/>
        </w:rPr>
      </w:pPr>
      <w:r w:rsidRPr="00AA043F">
        <w:rPr>
          <w:rFonts w:ascii="Arial" w:hAnsi="Arial" w:cs="Arial"/>
          <w:lang w:val="fr-BE"/>
        </w:rPr>
        <w:t xml:space="preserve">Il ressort de nos analyses des décès anormalement élevés lors des deux vagues de la pandémie dans les maisons de repos des deux régions, mais la première a été beaucoup plus mortelle. En 2020, nous comptons </w:t>
      </w:r>
      <w:r w:rsidR="00C2672C" w:rsidRPr="00AA043F">
        <w:rPr>
          <w:rFonts w:ascii="Arial" w:hAnsi="Arial" w:cs="Arial"/>
          <w:lang w:val="fr-BE"/>
        </w:rPr>
        <w:t>un tiers de</w:t>
      </w:r>
      <w:r w:rsidRPr="00AA043F">
        <w:rPr>
          <w:rFonts w:ascii="Arial" w:hAnsi="Arial" w:cs="Arial"/>
          <w:lang w:val="fr-BE"/>
        </w:rPr>
        <w:t xml:space="preserve"> décès en plus par rapport à 2019</w:t>
      </w:r>
      <w:r w:rsidR="00C2672C" w:rsidRPr="00AA043F">
        <w:rPr>
          <w:rFonts w:ascii="Arial" w:hAnsi="Arial" w:cs="Arial"/>
          <w:lang w:val="fr-BE"/>
        </w:rPr>
        <w:t>. À Bruxelles la surmortalité était plus élevée qu’en Wallonie (39% vs 31% de surmortalité)</w:t>
      </w:r>
      <w:r w:rsidRPr="00AA043F">
        <w:rPr>
          <w:rFonts w:ascii="Arial" w:hAnsi="Arial" w:cs="Arial"/>
          <w:lang w:val="fr-BE"/>
        </w:rPr>
        <w:t xml:space="preserve">. </w:t>
      </w:r>
      <w:r w:rsidR="00EA4809" w:rsidRPr="00AA043F">
        <w:rPr>
          <w:rFonts w:ascii="Arial" w:hAnsi="Arial" w:cs="Arial"/>
          <w:lang w:val="fr-BE"/>
        </w:rPr>
        <w:t>Autant</w:t>
      </w:r>
      <w:r w:rsidR="00C2672C" w:rsidRPr="00AA043F">
        <w:rPr>
          <w:rFonts w:ascii="Arial" w:hAnsi="Arial" w:cs="Arial"/>
          <w:lang w:val="fr-BE"/>
        </w:rPr>
        <w:t xml:space="preserve"> les résidents dépendants que les résidents non-dépendants en maison de repos </w:t>
      </w:r>
      <w:r w:rsidR="00EA4809" w:rsidRPr="00AA043F">
        <w:rPr>
          <w:rFonts w:ascii="Arial" w:hAnsi="Arial" w:cs="Arial"/>
          <w:lang w:val="fr-BE"/>
        </w:rPr>
        <w:t>ont fait face à des</w:t>
      </w:r>
      <w:r w:rsidR="00C2672C" w:rsidRPr="00AA043F">
        <w:rPr>
          <w:rFonts w:ascii="Arial" w:hAnsi="Arial" w:cs="Arial"/>
          <w:lang w:val="fr-BE"/>
        </w:rPr>
        <w:t xml:space="preserve"> taux de mortalité élevés pendant les </w:t>
      </w:r>
      <w:r w:rsidR="002A4E05" w:rsidRPr="00AA043F">
        <w:rPr>
          <w:rFonts w:ascii="Arial" w:hAnsi="Arial" w:cs="Arial"/>
          <w:lang w:val="fr-BE"/>
        </w:rPr>
        <w:t>deux</w:t>
      </w:r>
      <w:r w:rsidR="00C2672C" w:rsidRPr="00AA043F">
        <w:rPr>
          <w:rFonts w:ascii="Arial" w:hAnsi="Arial" w:cs="Arial"/>
          <w:lang w:val="fr-BE"/>
        </w:rPr>
        <w:t xml:space="preserve"> vagues de la pandémie en 2020</w:t>
      </w:r>
      <w:r w:rsidR="00971EAC" w:rsidRPr="00AA043F">
        <w:rPr>
          <w:rFonts w:ascii="Arial" w:hAnsi="Arial" w:cs="Arial"/>
          <w:lang w:val="fr-BE"/>
        </w:rPr>
        <w:t xml:space="preserve"> et la surmortalité est presque la même pour ces </w:t>
      </w:r>
      <w:r w:rsidR="002A4E05" w:rsidRPr="00AA043F">
        <w:rPr>
          <w:rFonts w:ascii="Arial" w:hAnsi="Arial" w:cs="Arial"/>
          <w:lang w:val="fr-BE"/>
        </w:rPr>
        <w:t>deux</w:t>
      </w:r>
      <w:r w:rsidR="00971EAC" w:rsidRPr="00AA043F">
        <w:rPr>
          <w:rFonts w:ascii="Arial" w:hAnsi="Arial" w:cs="Arial"/>
          <w:lang w:val="fr-BE"/>
        </w:rPr>
        <w:t xml:space="preserve"> groupes en</w:t>
      </w:r>
      <w:r w:rsidR="002A4E05" w:rsidRPr="00AA043F">
        <w:rPr>
          <w:rFonts w:ascii="Arial" w:hAnsi="Arial" w:cs="Arial"/>
          <w:lang w:val="fr-BE"/>
        </w:rPr>
        <w:t xml:space="preserve"> </w:t>
      </w:r>
      <w:r w:rsidR="00971EAC" w:rsidRPr="00AA043F">
        <w:rPr>
          <w:rFonts w:ascii="Arial" w:hAnsi="Arial" w:cs="Arial"/>
          <w:lang w:val="fr-BE"/>
        </w:rPr>
        <w:t xml:space="preserve">2020. </w:t>
      </w:r>
      <w:r w:rsidR="002A4E05" w:rsidRPr="00AA043F">
        <w:rPr>
          <w:rFonts w:ascii="Arial" w:hAnsi="Arial" w:cs="Arial"/>
          <w:lang w:val="fr-BE"/>
        </w:rPr>
        <w:t>L</w:t>
      </w:r>
      <w:r w:rsidR="00971EAC" w:rsidRPr="00AA043F">
        <w:rPr>
          <w:rFonts w:ascii="Arial" w:hAnsi="Arial" w:cs="Arial"/>
          <w:lang w:val="fr-BE"/>
        </w:rPr>
        <w:t>es taux de mortalité des résidents dépendants étaient plus élevés par rapport aux résidents non-dépendants</w:t>
      </w:r>
      <w:r w:rsidR="002A4E05" w:rsidRPr="00AA043F">
        <w:rPr>
          <w:rFonts w:ascii="Arial" w:hAnsi="Arial" w:cs="Arial"/>
          <w:lang w:val="fr-BE"/>
        </w:rPr>
        <w:t xml:space="preserve"> en 2020 (3,6% vs. 0,9%) comme en 2019 (2,6% vs. 0,6%).</w:t>
      </w:r>
    </w:p>
    <w:p w14:paraId="00F40DA4" w14:textId="286F3FC6" w:rsidR="00A02EDC" w:rsidRPr="00AA043F" w:rsidRDefault="006A1A39" w:rsidP="006A1A39">
      <w:pPr>
        <w:jc w:val="both"/>
        <w:rPr>
          <w:rFonts w:ascii="Arial" w:hAnsi="Arial" w:cs="Arial"/>
          <w:lang w:val="fr-BE"/>
        </w:rPr>
      </w:pPr>
      <w:r w:rsidRPr="00AA043F">
        <w:rPr>
          <w:rFonts w:ascii="Arial" w:hAnsi="Arial" w:cs="Arial"/>
          <w:lang w:val="fr-BE"/>
        </w:rPr>
        <w:t xml:space="preserve">En 2020 le nombre de personnes qui entrent en maison de repos a fortement diminué </w:t>
      </w:r>
      <w:r w:rsidR="002D0C01">
        <w:rPr>
          <w:rFonts w:ascii="Arial" w:hAnsi="Arial" w:cs="Arial"/>
          <w:lang w:val="fr-BE"/>
        </w:rPr>
        <w:t>en comparaison avec</w:t>
      </w:r>
      <w:r w:rsidRPr="00AA043F">
        <w:rPr>
          <w:rFonts w:ascii="Arial" w:hAnsi="Arial" w:cs="Arial"/>
          <w:lang w:val="fr-BE"/>
        </w:rPr>
        <w:t xml:space="preserve"> 2019 : pendant la période </w:t>
      </w:r>
      <w:r w:rsidR="009E2073" w:rsidRPr="00AA043F">
        <w:rPr>
          <w:rFonts w:ascii="Arial" w:hAnsi="Arial" w:cs="Arial"/>
          <w:lang w:val="fr-BE"/>
        </w:rPr>
        <w:t>février</w:t>
      </w:r>
      <w:r w:rsidRPr="00AA043F">
        <w:rPr>
          <w:rFonts w:ascii="Arial" w:hAnsi="Arial" w:cs="Arial"/>
          <w:lang w:val="fr-BE"/>
        </w:rPr>
        <w:t xml:space="preserve">-décembre 2020 on observe entre </w:t>
      </w:r>
      <w:r w:rsidR="009E2073" w:rsidRPr="00AA043F">
        <w:rPr>
          <w:rFonts w:ascii="Arial" w:hAnsi="Arial" w:cs="Arial"/>
          <w:lang w:val="fr-BE"/>
        </w:rPr>
        <w:t>29</w:t>
      </w:r>
      <w:r w:rsidRPr="00AA043F">
        <w:rPr>
          <w:rFonts w:ascii="Arial" w:hAnsi="Arial" w:cs="Arial"/>
          <w:lang w:val="fr-BE"/>
        </w:rPr>
        <w:t xml:space="preserve">% (Wallonie) et </w:t>
      </w:r>
      <w:r w:rsidR="009E2073" w:rsidRPr="00AA043F">
        <w:rPr>
          <w:rFonts w:ascii="Arial" w:hAnsi="Arial" w:cs="Arial"/>
          <w:lang w:val="fr-BE"/>
        </w:rPr>
        <w:t>33</w:t>
      </w:r>
      <w:r w:rsidRPr="00AA043F">
        <w:rPr>
          <w:rFonts w:ascii="Arial" w:hAnsi="Arial" w:cs="Arial"/>
          <w:lang w:val="fr-BE"/>
        </w:rPr>
        <w:t xml:space="preserve">% (Bruxelles) </w:t>
      </w:r>
      <w:r w:rsidR="005B635B">
        <w:rPr>
          <w:rFonts w:ascii="Arial" w:hAnsi="Arial" w:cs="Arial"/>
          <w:lang w:val="fr-BE"/>
        </w:rPr>
        <w:t xml:space="preserve">en </w:t>
      </w:r>
      <w:r w:rsidRPr="00AA043F">
        <w:rPr>
          <w:rFonts w:ascii="Arial" w:hAnsi="Arial" w:cs="Arial"/>
          <w:lang w:val="fr-BE"/>
        </w:rPr>
        <w:t xml:space="preserve">moins de nouveaux entrants en maison de repos </w:t>
      </w:r>
      <w:r w:rsidR="005B635B">
        <w:rPr>
          <w:rFonts w:ascii="Arial" w:hAnsi="Arial" w:cs="Arial"/>
          <w:lang w:val="fr-BE"/>
        </w:rPr>
        <w:t>par rapport</w:t>
      </w:r>
      <w:r w:rsidRPr="00AA043F">
        <w:rPr>
          <w:rFonts w:ascii="Arial" w:hAnsi="Arial" w:cs="Arial"/>
          <w:lang w:val="fr-BE"/>
        </w:rPr>
        <w:t xml:space="preserve"> à la même période en 2019. </w:t>
      </w:r>
      <w:r w:rsidR="00A02EDC" w:rsidRPr="00AA043F">
        <w:rPr>
          <w:rFonts w:ascii="Arial" w:hAnsi="Arial" w:cs="Arial"/>
          <w:lang w:val="fr-BE"/>
        </w:rPr>
        <w:t>La diminution s’observe plus chez les personnes non-dépendant</w:t>
      </w:r>
      <w:r w:rsidR="005B635B">
        <w:rPr>
          <w:rFonts w:ascii="Arial" w:hAnsi="Arial" w:cs="Arial"/>
          <w:lang w:val="fr-BE"/>
        </w:rPr>
        <w:t>e</w:t>
      </w:r>
      <w:r w:rsidR="00A02EDC" w:rsidRPr="00AA043F">
        <w:rPr>
          <w:rFonts w:ascii="Arial" w:hAnsi="Arial" w:cs="Arial"/>
          <w:lang w:val="fr-BE"/>
        </w:rPr>
        <w:t xml:space="preserve">s que chez les personnes dépendantes. Le profil des nouveaux résidents a conséquemment alors changé entre 2019 et 2020 : la part des dépendants parmi les nouveaux entrants a </w:t>
      </w:r>
      <w:r w:rsidR="004126B1" w:rsidRPr="00AA043F">
        <w:rPr>
          <w:rFonts w:ascii="Arial" w:hAnsi="Arial" w:cs="Arial"/>
          <w:lang w:val="fr-BE"/>
        </w:rPr>
        <w:t>augmenté</w:t>
      </w:r>
      <w:r w:rsidR="00A02EDC" w:rsidRPr="00AA043F">
        <w:rPr>
          <w:rFonts w:ascii="Arial" w:hAnsi="Arial" w:cs="Arial"/>
          <w:lang w:val="fr-BE"/>
        </w:rPr>
        <w:t xml:space="preserve">. </w:t>
      </w:r>
      <w:r w:rsidRPr="00AA043F">
        <w:rPr>
          <w:rFonts w:ascii="Arial" w:hAnsi="Arial" w:cs="Arial"/>
          <w:lang w:val="fr-BE"/>
        </w:rPr>
        <w:t xml:space="preserve">Vers la fin de 2020 on observe un petit rattrapage pour les entrées </w:t>
      </w:r>
      <w:r w:rsidR="00971EAC" w:rsidRPr="00AA043F">
        <w:rPr>
          <w:rFonts w:ascii="Arial" w:hAnsi="Arial" w:cs="Arial"/>
          <w:lang w:val="fr-BE"/>
        </w:rPr>
        <w:t>des personnes dépendantes en Wallonie mais les nombres restent nettement inférieurs à ceux de 2019</w:t>
      </w:r>
      <w:r w:rsidRPr="00AA043F">
        <w:rPr>
          <w:rFonts w:ascii="Arial" w:hAnsi="Arial" w:cs="Arial"/>
          <w:lang w:val="fr-BE"/>
        </w:rPr>
        <w:t xml:space="preserve">. </w:t>
      </w:r>
    </w:p>
    <w:p w14:paraId="4BB51C9A" w14:textId="7E957D0E" w:rsidR="006A1A39" w:rsidRPr="00AA043F" w:rsidRDefault="006A1A39" w:rsidP="001404CB">
      <w:pPr>
        <w:jc w:val="both"/>
        <w:rPr>
          <w:rFonts w:ascii="Arial" w:hAnsi="Arial" w:cs="Arial"/>
          <w:lang w:val="fr-BE"/>
        </w:rPr>
      </w:pPr>
      <w:r w:rsidRPr="00AA043F">
        <w:rPr>
          <w:rFonts w:ascii="Arial" w:hAnsi="Arial" w:cs="Arial"/>
          <w:lang w:val="fr-BE"/>
        </w:rPr>
        <w:t xml:space="preserve">Nos analyses ont montré que la polymédication est toujours bien ancrée en maison de repos, même si on remarque tout de même une baisse du nombre médian et moyen de médicaments utilisés parmi les résidents en maison de repos. </w:t>
      </w:r>
      <w:r w:rsidR="001404CB" w:rsidRPr="00AA043F">
        <w:rPr>
          <w:rFonts w:ascii="Arial" w:hAnsi="Arial" w:cs="Arial"/>
          <w:lang w:val="fr-BE"/>
        </w:rPr>
        <w:t xml:space="preserve">Cette diminution pourrait faire suite à des mesures d’économies sur les médicaments en maisons de repos, prises dans le cadre du budget des Soins de Santé fédéral 2013, visant d’une part à réduire le ‘volume’ </w:t>
      </w:r>
      <w:r w:rsidR="003E4E31" w:rsidRPr="00AA043F">
        <w:rPr>
          <w:rFonts w:ascii="Arial" w:hAnsi="Arial" w:cs="Arial"/>
          <w:lang w:val="fr-BE"/>
        </w:rPr>
        <w:t>prescrit (</w:t>
      </w:r>
      <w:r w:rsidR="001404CB" w:rsidRPr="00AA043F">
        <w:rPr>
          <w:rFonts w:ascii="Arial" w:hAnsi="Arial" w:cs="Arial"/>
          <w:lang w:val="fr-BE"/>
        </w:rPr>
        <w:t>via sensibilisation sur la polymédication, feedback sur le profil de prescription, etc.) et d’autre part l’introduction d’un nouveau système de tarification à l’unité en 2015</w:t>
      </w:r>
      <w:r w:rsidRPr="00AA043F">
        <w:rPr>
          <w:rStyle w:val="Appelnotedebasdep"/>
          <w:rFonts w:ascii="Arial" w:hAnsi="Arial" w:cs="Arial"/>
          <w:lang w:val="fr-BE"/>
        </w:rPr>
        <w:footnoteReference w:id="7"/>
      </w:r>
      <w:r w:rsidRPr="00AA043F">
        <w:rPr>
          <w:rFonts w:ascii="Arial" w:hAnsi="Arial" w:cs="Arial"/>
          <w:lang w:val="fr-BE"/>
        </w:rPr>
        <w:t xml:space="preserve">. </w:t>
      </w:r>
    </w:p>
    <w:p w14:paraId="7E172013" w14:textId="213A2581" w:rsidR="006A1A39" w:rsidRPr="00AA043F" w:rsidRDefault="006A1A39" w:rsidP="006A1A39">
      <w:pPr>
        <w:jc w:val="both"/>
        <w:rPr>
          <w:rFonts w:ascii="Arial" w:hAnsi="Arial" w:cs="Arial"/>
          <w:lang w:val="fr-BE"/>
        </w:rPr>
      </w:pPr>
      <w:r w:rsidRPr="00AA043F">
        <w:rPr>
          <w:rFonts w:ascii="Arial" w:hAnsi="Arial" w:cs="Arial"/>
          <w:lang w:val="fr-BE"/>
        </w:rPr>
        <w:t xml:space="preserve">Il ressort aussi de cette étude que la proportion d’utilisateurs d’antidépresseurs et d’antipsychotiques n’a pas évolué significativement entre 2013 et 2020. La pandémie de </w:t>
      </w:r>
      <w:r w:rsidR="00531C1C" w:rsidRPr="00AA043F">
        <w:rPr>
          <w:rFonts w:ascii="Arial" w:hAnsi="Arial" w:cs="Arial"/>
          <w:lang w:val="fr-BE"/>
        </w:rPr>
        <w:t>COVID</w:t>
      </w:r>
      <w:r w:rsidRPr="00AA043F">
        <w:rPr>
          <w:rFonts w:ascii="Arial" w:hAnsi="Arial" w:cs="Arial"/>
          <w:lang w:val="fr-BE"/>
        </w:rPr>
        <w:t>-19 n’a pas accentué cette problématique connue depuis bien longtemps. On ne peut donc pas dire que la proportion d’utilisateurs de ces médicaments a augmenté significativement entre 2013/2019 et 2020 et que la pandémie a aggravé ce problème.</w:t>
      </w:r>
    </w:p>
    <w:p w14:paraId="58367AD4" w14:textId="23FA01F6" w:rsidR="002A4E05" w:rsidRPr="00AA043F" w:rsidRDefault="006A1A39" w:rsidP="006A1A39">
      <w:pPr>
        <w:jc w:val="both"/>
        <w:rPr>
          <w:rFonts w:ascii="Arial" w:hAnsi="Arial" w:cs="Arial"/>
          <w:lang w:val="fr-BE"/>
        </w:rPr>
      </w:pPr>
      <w:r w:rsidRPr="00AA043F">
        <w:rPr>
          <w:rFonts w:ascii="Arial" w:hAnsi="Arial" w:cs="Arial"/>
          <w:lang w:val="fr-BE"/>
        </w:rPr>
        <w:t>Finalement, au cours de ce travail, nous avons également constaté que le nombre de résidents en maison de repos à Bruxelles et en Wallonie a significativement diminué entre 2019 et 2020 (-6</w:t>
      </w:r>
      <w:r w:rsidR="009E2073" w:rsidRPr="00AA043F">
        <w:rPr>
          <w:rFonts w:ascii="Arial" w:hAnsi="Arial" w:cs="Arial"/>
          <w:lang w:val="fr-BE"/>
        </w:rPr>
        <w:t>,5</w:t>
      </w:r>
      <w:r w:rsidRPr="00AA043F">
        <w:rPr>
          <w:rFonts w:ascii="Arial" w:hAnsi="Arial" w:cs="Arial"/>
          <w:lang w:val="fr-BE"/>
        </w:rPr>
        <w:t>%) alors que leur nombre augmentait d’année en année. Cette baisse s’explique certainement par les entrées en maison de repos qui se sont réduites suite  aux lourds effets de la crise sanitaire au sein des maisons de repos (nombreuses infections au coronavirus et nombreux décès enregistrés en maison de repos suite à la pandémie)</w:t>
      </w:r>
      <w:r w:rsidRPr="00AA043F" w:rsidDel="009D5A46">
        <w:rPr>
          <w:rFonts w:ascii="Arial" w:hAnsi="Arial" w:cs="Arial"/>
          <w:lang w:val="fr-BE"/>
        </w:rPr>
        <w:t xml:space="preserve"> </w:t>
      </w:r>
      <w:r w:rsidRPr="00AA043F">
        <w:rPr>
          <w:rFonts w:ascii="Arial" w:hAnsi="Arial" w:cs="Arial"/>
          <w:lang w:val="fr-BE"/>
        </w:rPr>
        <w:t xml:space="preserve">qui ont peut-être induit une réticence à rentrer en maisons de repos. </w:t>
      </w:r>
    </w:p>
    <w:p w14:paraId="4929F569" w14:textId="77777777" w:rsidR="002A4E05" w:rsidRPr="00AA043F" w:rsidRDefault="002A4E05">
      <w:pPr>
        <w:rPr>
          <w:rFonts w:ascii="Arial" w:hAnsi="Arial" w:cs="Arial"/>
          <w:lang w:val="fr-BE"/>
        </w:rPr>
      </w:pPr>
      <w:r w:rsidRPr="00AA043F">
        <w:rPr>
          <w:rFonts w:ascii="Arial" w:hAnsi="Arial" w:cs="Arial"/>
          <w:lang w:val="fr-BE"/>
        </w:rPr>
        <w:br w:type="page"/>
      </w:r>
    </w:p>
    <w:p w14:paraId="3D12EFA8" w14:textId="74435588" w:rsidR="006A1A39" w:rsidRDefault="006A1A39" w:rsidP="001404CB">
      <w:pPr>
        <w:pStyle w:val="Titre1"/>
        <w:rPr>
          <w:rFonts w:ascii="Arial" w:hAnsi="Arial" w:cs="Arial"/>
          <w:b/>
          <w:bCs/>
          <w:color w:val="auto"/>
          <w:sz w:val="26"/>
          <w:szCs w:val="26"/>
          <w:lang w:val="fr-BE"/>
        </w:rPr>
      </w:pPr>
      <w:r w:rsidRPr="00AA043F">
        <w:rPr>
          <w:rFonts w:ascii="Arial" w:hAnsi="Arial" w:cs="Arial"/>
          <w:b/>
          <w:bCs/>
          <w:color w:val="auto"/>
          <w:sz w:val="26"/>
          <w:szCs w:val="26"/>
          <w:lang w:val="fr-BE"/>
        </w:rPr>
        <w:lastRenderedPageBreak/>
        <w:t>Recommandations</w:t>
      </w:r>
    </w:p>
    <w:p w14:paraId="56353220" w14:textId="77777777" w:rsidR="00AA043F" w:rsidRPr="00AA043F" w:rsidRDefault="00AA043F" w:rsidP="00AA043F">
      <w:pPr>
        <w:rPr>
          <w:lang w:val="fr-BE"/>
        </w:rPr>
      </w:pPr>
    </w:p>
    <w:p w14:paraId="1A80D54D" w14:textId="77777777" w:rsidR="006A1A39" w:rsidRPr="00AA043F" w:rsidRDefault="006A1A39" w:rsidP="006A1A39">
      <w:pPr>
        <w:jc w:val="both"/>
        <w:rPr>
          <w:rFonts w:ascii="Arial" w:hAnsi="Arial" w:cs="Arial"/>
          <w:b/>
          <w:bCs/>
          <w:lang w:val="fr-BE"/>
        </w:rPr>
      </w:pPr>
      <w:r w:rsidRPr="00AA043F">
        <w:rPr>
          <w:rFonts w:ascii="Arial" w:hAnsi="Arial" w:cs="Arial"/>
          <w:b/>
          <w:bCs/>
          <w:lang w:val="fr-BE"/>
        </w:rPr>
        <w:t>Santé mentale &amp; bien-être :</w:t>
      </w:r>
    </w:p>
    <w:p w14:paraId="5B83B992" w14:textId="77777777" w:rsidR="006A1A39" w:rsidRPr="00AA043F" w:rsidRDefault="006A1A39" w:rsidP="001404CB">
      <w:pPr>
        <w:pStyle w:val="Commentaire"/>
        <w:numPr>
          <w:ilvl w:val="0"/>
          <w:numId w:val="10"/>
        </w:numPr>
        <w:rPr>
          <w:rFonts w:ascii="Arial" w:hAnsi="Arial" w:cs="Arial"/>
          <w:sz w:val="22"/>
          <w:szCs w:val="22"/>
          <w:lang w:val="fr-FR"/>
        </w:rPr>
      </w:pPr>
      <w:r w:rsidRPr="00AA043F">
        <w:rPr>
          <w:rFonts w:ascii="Arial" w:hAnsi="Arial" w:cs="Arial"/>
          <w:sz w:val="22"/>
          <w:szCs w:val="22"/>
          <w:lang w:val="fr-FR"/>
        </w:rPr>
        <w:t>Encourager la prise en charge non médicamenteuse des problèmes de santé mentale en maisons de repos via, par exemple, un accompagnement psychologique structurel des résidents au sein des maisons de repos</w:t>
      </w:r>
    </w:p>
    <w:p w14:paraId="677304A2" w14:textId="77777777" w:rsidR="006A1A39" w:rsidRPr="00AA043F" w:rsidRDefault="006A1A39" w:rsidP="001404CB">
      <w:pPr>
        <w:pStyle w:val="Commentaire"/>
        <w:numPr>
          <w:ilvl w:val="0"/>
          <w:numId w:val="10"/>
        </w:numPr>
        <w:rPr>
          <w:rFonts w:ascii="Arial" w:hAnsi="Arial" w:cs="Arial"/>
          <w:sz w:val="22"/>
          <w:szCs w:val="22"/>
          <w:lang w:val="fr-FR"/>
        </w:rPr>
      </w:pPr>
      <w:r w:rsidRPr="00AA043F">
        <w:rPr>
          <w:rFonts w:ascii="Arial" w:hAnsi="Arial" w:cs="Arial"/>
          <w:sz w:val="22"/>
          <w:szCs w:val="22"/>
          <w:lang w:val="fr-FR"/>
        </w:rPr>
        <w:t xml:space="preserve">Implémenter une philosophie plus participative des résidents dans la gestion du quotidien en maisons de repos </w:t>
      </w:r>
    </w:p>
    <w:p w14:paraId="42859896" w14:textId="77777777" w:rsidR="006A1A39" w:rsidRPr="00AA043F" w:rsidRDefault="006A1A39" w:rsidP="001404CB">
      <w:pPr>
        <w:pStyle w:val="Commentaire"/>
        <w:numPr>
          <w:ilvl w:val="0"/>
          <w:numId w:val="10"/>
        </w:numPr>
        <w:rPr>
          <w:rFonts w:ascii="Arial" w:hAnsi="Arial" w:cs="Arial"/>
          <w:sz w:val="22"/>
          <w:szCs w:val="22"/>
          <w:lang w:val="fr-FR"/>
        </w:rPr>
      </w:pPr>
      <w:r w:rsidRPr="00AA043F">
        <w:rPr>
          <w:rFonts w:ascii="Arial" w:hAnsi="Arial" w:cs="Arial"/>
          <w:sz w:val="22"/>
          <w:szCs w:val="22"/>
          <w:lang w:val="fr-FR"/>
        </w:rPr>
        <w:t xml:space="preserve">Systématiser les activités favorisant l’autonomie et l’estime de soi au sein des maisons de repos </w:t>
      </w:r>
    </w:p>
    <w:p w14:paraId="1A3B9540" w14:textId="77777777" w:rsidR="006A1A39" w:rsidRPr="00AA043F" w:rsidRDefault="006A1A39" w:rsidP="006A1A39">
      <w:pPr>
        <w:jc w:val="both"/>
        <w:rPr>
          <w:rFonts w:ascii="Arial" w:hAnsi="Arial" w:cs="Arial"/>
          <w:lang w:val="fr-BE"/>
        </w:rPr>
      </w:pPr>
      <w:r w:rsidRPr="00AA043F">
        <w:rPr>
          <w:rFonts w:ascii="Arial" w:hAnsi="Arial" w:cs="Arial"/>
          <w:b/>
          <w:bCs/>
          <w:lang w:val="fr-BE"/>
        </w:rPr>
        <w:t>Polymédication</w:t>
      </w:r>
      <w:r w:rsidRPr="00AA043F">
        <w:rPr>
          <w:rFonts w:ascii="Arial" w:hAnsi="Arial" w:cs="Arial"/>
          <w:lang w:val="fr-BE"/>
        </w:rPr>
        <w:t xml:space="preserve"> : </w:t>
      </w:r>
    </w:p>
    <w:p w14:paraId="7AD97B28" w14:textId="14554D81" w:rsidR="006A1A39" w:rsidRPr="00AA043F" w:rsidRDefault="001404CB" w:rsidP="001404CB">
      <w:pPr>
        <w:pStyle w:val="Paragraphedeliste"/>
        <w:numPr>
          <w:ilvl w:val="0"/>
          <w:numId w:val="8"/>
        </w:numPr>
        <w:jc w:val="both"/>
        <w:rPr>
          <w:rFonts w:ascii="Arial" w:hAnsi="Arial" w:cs="Arial"/>
          <w:lang w:val="fr-BE"/>
        </w:rPr>
      </w:pPr>
      <w:r w:rsidRPr="00AA043F">
        <w:rPr>
          <w:rFonts w:ascii="Arial" w:hAnsi="Arial" w:cs="Arial"/>
          <w:lang w:val="fr-BE"/>
        </w:rPr>
        <w:t>Renforcer</w:t>
      </w:r>
      <w:r w:rsidR="006A1A39" w:rsidRPr="00AA043F">
        <w:rPr>
          <w:rFonts w:ascii="Arial" w:hAnsi="Arial" w:cs="Arial"/>
          <w:lang w:val="fr-BE"/>
        </w:rPr>
        <w:t xml:space="preserve"> les efforts de concertation entre les professionnels de la santé </w:t>
      </w:r>
      <w:r w:rsidRPr="00AA043F">
        <w:rPr>
          <w:rFonts w:ascii="Arial" w:hAnsi="Arial" w:cs="Arial"/>
          <w:lang w:val="fr-BE"/>
        </w:rPr>
        <w:t xml:space="preserve">et formaliser une évaluation régulière des traitements mis en place </w:t>
      </w:r>
      <w:r w:rsidR="006A1A39" w:rsidRPr="00AA043F">
        <w:rPr>
          <w:rFonts w:ascii="Arial" w:hAnsi="Arial" w:cs="Arial"/>
          <w:lang w:val="fr-BE"/>
        </w:rPr>
        <w:t xml:space="preserve">qui entourent le résident afin d’évaluer régulièrement le traitement mis en place (efficacité, sécurité, « acceptabilité par le patient »). Le patient et ses proches doivent également être activement impliqués à cet égard. </w:t>
      </w:r>
    </w:p>
    <w:p w14:paraId="0456B59B" w14:textId="703CCC86" w:rsidR="006A1A39" w:rsidRPr="00AA043F" w:rsidRDefault="006A1A39" w:rsidP="001404CB">
      <w:pPr>
        <w:pStyle w:val="Paragraphedeliste"/>
        <w:numPr>
          <w:ilvl w:val="0"/>
          <w:numId w:val="8"/>
        </w:numPr>
        <w:jc w:val="both"/>
        <w:rPr>
          <w:rFonts w:ascii="Arial" w:hAnsi="Arial" w:cs="Arial"/>
          <w:lang w:val="fr-BE"/>
        </w:rPr>
      </w:pPr>
      <w:r w:rsidRPr="00AA043F">
        <w:rPr>
          <w:rFonts w:ascii="Arial" w:hAnsi="Arial" w:cs="Arial"/>
          <w:lang w:val="fr-BE"/>
        </w:rPr>
        <w:t>Pour soutenir les professionnels de la santé, une directive de polymédication pourrait être élaboré</w:t>
      </w:r>
      <w:r w:rsidR="001404CB" w:rsidRPr="00AA043F">
        <w:rPr>
          <w:rFonts w:ascii="Arial" w:hAnsi="Arial" w:cs="Arial"/>
          <w:lang w:val="fr-BE"/>
        </w:rPr>
        <w:t xml:space="preserve">e </w:t>
      </w:r>
      <w:r w:rsidRPr="00AA043F">
        <w:rPr>
          <w:rFonts w:ascii="Arial" w:hAnsi="Arial" w:cs="Arial"/>
          <w:lang w:val="fr-BE"/>
        </w:rPr>
        <w:t xml:space="preserve">(informations pratiques sur l’évaluation, les personnes impliquées, la base scientifique pour l’évaluation). </w:t>
      </w:r>
      <w:r w:rsidRPr="00AA043F">
        <w:rPr>
          <w:rFonts w:ascii="Arial" w:hAnsi="Arial" w:cs="Arial"/>
          <w:lang w:val="fr-FR"/>
        </w:rPr>
        <w:t>Des instances nationales, comme le Centre Belge d'Information Pharmacothérapeutique et Farmaka, ont un rôle de premier plan à jouer ici.</w:t>
      </w:r>
    </w:p>
    <w:p w14:paraId="0D81A965" w14:textId="31B599D6" w:rsidR="006A1A39" w:rsidRPr="00AA043F" w:rsidRDefault="006A1A39" w:rsidP="006A1A39">
      <w:pPr>
        <w:jc w:val="both"/>
        <w:rPr>
          <w:rFonts w:ascii="Arial" w:hAnsi="Arial" w:cs="Arial"/>
          <w:lang w:val="fr-BE"/>
        </w:rPr>
      </w:pPr>
      <w:r w:rsidRPr="00AA043F">
        <w:rPr>
          <w:rFonts w:ascii="Arial" w:hAnsi="Arial" w:cs="Arial"/>
          <w:b/>
          <w:bCs/>
          <w:lang w:val="fr-BE"/>
        </w:rPr>
        <w:t xml:space="preserve">Accompagnement des ainés et leurs </w:t>
      </w:r>
      <w:r w:rsidR="003E4E31" w:rsidRPr="00AA043F">
        <w:rPr>
          <w:rFonts w:ascii="Arial" w:hAnsi="Arial" w:cs="Arial"/>
          <w:b/>
          <w:bCs/>
          <w:lang w:val="fr-BE"/>
        </w:rPr>
        <w:t>proches</w:t>
      </w:r>
      <w:r w:rsidR="003E4E31" w:rsidRPr="00AA043F">
        <w:rPr>
          <w:rFonts w:ascii="Arial" w:hAnsi="Arial" w:cs="Arial"/>
          <w:lang w:val="fr-BE"/>
        </w:rPr>
        <w:t xml:space="preserve"> :</w:t>
      </w:r>
    </w:p>
    <w:p w14:paraId="424C3001" w14:textId="77777777" w:rsidR="006A1A39" w:rsidRPr="00AA043F" w:rsidRDefault="006A1A39" w:rsidP="001404CB">
      <w:pPr>
        <w:pStyle w:val="Paragraphedeliste"/>
        <w:numPr>
          <w:ilvl w:val="0"/>
          <w:numId w:val="9"/>
        </w:numPr>
        <w:jc w:val="both"/>
        <w:rPr>
          <w:rFonts w:ascii="Arial" w:hAnsi="Arial" w:cs="Arial"/>
          <w:lang w:val="fr-BE"/>
        </w:rPr>
      </w:pPr>
      <w:r w:rsidRPr="00AA043F">
        <w:rPr>
          <w:rFonts w:ascii="Arial" w:hAnsi="Arial" w:cs="Arial"/>
          <w:lang w:val="fr-BE"/>
        </w:rPr>
        <w:t xml:space="preserve">Renforcer l’accompagnement des ainés et leurs proches dans leurs décisions sur les lieux de vie le plus adéquat en fonction de leurs besoins (information sur les services et aides à domicile, alternatives au maintien à domicile, coûts, etc.) </w:t>
      </w:r>
    </w:p>
    <w:p w14:paraId="00F7D0AF" w14:textId="45A52AD2" w:rsidR="00721E95" w:rsidRDefault="00721E95" w:rsidP="006A1A39">
      <w:pPr>
        <w:jc w:val="both"/>
        <w:rPr>
          <w:rFonts w:ascii="Arial" w:hAnsi="Arial" w:cs="Arial"/>
          <w:lang w:val="fr-BE"/>
        </w:rPr>
      </w:pPr>
    </w:p>
    <w:p w14:paraId="6C689E77" w14:textId="049435D1" w:rsidR="001F2DFC" w:rsidRDefault="001F2DFC" w:rsidP="006A1A39">
      <w:pPr>
        <w:jc w:val="both"/>
        <w:rPr>
          <w:rFonts w:ascii="Arial" w:hAnsi="Arial" w:cs="Arial"/>
          <w:lang w:val="fr-BE"/>
        </w:rPr>
      </w:pPr>
    </w:p>
    <w:p w14:paraId="44E14CB2" w14:textId="1248243B" w:rsidR="001F2DFC" w:rsidRDefault="001F2DFC" w:rsidP="006A1A39">
      <w:pPr>
        <w:jc w:val="both"/>
        <w:rPr>
          <w:rFonts w:ascii="Arial" w:hAnsi="Arial" w:cs="Arial"/>
          <w:lang w:val="fr-BE"/>
        </w:rPr>
      </w:pPr>
    </w:p>
    <w:p w14:paraId="1D8364A6" w14:textId="0E99EA3F" w:rsidR="001F2DFC" w:rsidRPr="001F2DFC" w:rsidRDefault="001F2DFC" w:rsidP="001F2DFC">
      <w:pPr>
        <w:rPr>
          <w:rFonts w:ascii="Arial" w:hAnsi="Arial" w:cs="Arial"/>
          <w:sz w:val="20"/>
          <w:szCs w:val="20"/>
          <w:lang w:val="fr-BE"/>
        </w:rPr>
      </w:pPr>
      <w:r>
        <w:rPr>
          <w:rFonts w:ascii="Arial" w:hAnsi="Arial" w:cs="Arial"/>
          <w:sz w:val="20"/>
          <w:szCs w:val="20"/>
          <w:lang w:val="fr-BE"/>
        </w:rPr>
        <w:t>Juillet</w:t>
      </w:r>
      <w:r w:rsidR="002A7EE9">
        <w:rPr>
          <w:rFonts w:ascii="Arial" w:hAnsi="Arial" w:cs="Arial"/>
          <w:sz w:val="20"/>
          <w:szCs w:val="20"/>
          <w:lang w:val="fr-BE"/>
        </w:rPr>
        <w:t>-août</w:t>
      </w:r>
      <w:r>
        <w:rPr>
          <w:rFonts w:ascii="Arial" w:hAnsi="Arial" w:cs="Arial"/>
          <w:sz w:val="20"/>
          <w:szCs w:val="20"/>
          <w:lang w:val="fr-BE"/>
        </w:rPr>
        <w:t xml:space="preserve"> </w:t>
      </w:r>
      <w:r w:rsidRPr="001F2DFC">
        <w:rPr>
          <w:rFonts w:ascii="Arial" w:hAnsi="Arial" w:cs="Arial"/>
          <w:sz w:val="20"/>
          <w:szCs w:val="20"/>
          <w:lang w:val="fr-BE"/>
        </w:rPr>
        <w:t>2021 – Mutualités Libres</w:t>
      </w:r>
    </w:p>
    <w:p w14:paraId="74A29D8F" w14:textId="77777777" w:rsidR="001F2DFC" w:rsidRPr="00AA043F" w:rsidRDefault="001F2DFC" w:rsidP="006A1A39">
      <w:pPr>
        <w:jc w:val="both"/>
        <w:rPr>
          <w:rFonts w:ascii="Arial" w:hAnsi="Arial" w:cs="Arial"/>
          <w:lang w:val="fr-BE"/>
        </w:rPr>
      </w:pPr>
    </w:p>
    <w:sectPr w:rsidR="001F2DFC" w:rsidRPr="00AA043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E05F1" w14:textId="77777777" w:rsidR="00531C1C" w:rsidRDefault="00531C1C" w:rsidP="000D2285">
      <w:pPr>
        <w:spacing w:after="0" w:line="240" w:lineRule="auto"/>
      </w:pPr>
      <w:r>
        <w:separator/>
      </w:r>
    </w:p>
  </w:endnote>
  <w:endnote w:type="continuationSeparator" w:id="0">
    <w:p w14:paraId="056D1DD6" w14:textId="77777777" w:rsidR="00531C1C" w:rsidRDefault="00531C1C" w:rsidP="000D2285">
      <w:pPr>
        <w:spacing w:after="0" w:line="240" w:lineRule="auto"/>
      </w:pPr>
      <w:r>
        <w:continuationSeparator/>
      </w:r>
    </w:p>
  </w:endnote>
  <w:endnote w:type="continuationNotice" w:id="1">
    <w:p w14:paraId="1418C71B" w14:textId="77777777" w:rsidR="00531C1C" w:rsidRDefault="00531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625821"/>
      <w:docPartObj>
        <w:docPartGallery w:val="Page Numbers (Bottom of Page)"/>
        <w:docPartUnique/>
      </w:docPartObj>
    </w:sdtPr>
    <w:sdtEndPr/>
    <w:sdtContent>
      <w:p w14:paraId="00AB5797" w14:textId="2573F2AE" w:rsidR="001F2DFC" w:rsidRDefault="001F2DFC">
        <w:pPr>
          <w:pStyle w:val="Pieddepage"/>
          <w:jc w:val="right"/>
        </w:pPr>
        <w:r>
          <w:fldChar w:fldCharType="begin"/>
        </w:r>
        <w:r>
          <w:instrText>PAGE   \* MERGEFORMAT</w:instrText>
        </w:r>
        <w:r>
          <w:fldChar w:fldCharType="separate"/>
        </w:r>
        <w:r>
          <w:rPr>
            <w:lang w:val="fr-FR"/>
          </w:rPr>
          <w:t>2</w:t>
        </w:r>
        <w:r>
          <w:fldChar w:fldCharType="end"/>
        </w:r>
      </w:p>
    </w:sdtContent>
  </w:sdt>
  <w:p w14:paraId="0885F81E" w14:textId="77777777" w:rsidR="00FB602B" w:rsidRDefault="00FB60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FEEA2" w14:textId="77777777" w:rsidR="00531C1C" w:rsidRDefault="00531C1C" w:rsidP="000D2285">
      <w:pPr>
        <w:spacing w:after="0" w:line="240" w:lineRule="auto"/>
      </w:pPr>
      <w:r>
        <w:separator/>
      </w:r>
    </w:p>
  </w:footnote>
  <w:footnote w:type="continuationSeparator" w:id="0">
    <w:p w14:paraId="592264DC" w14:textId="77777777" w:rsidR="00531C1C" w:rsidRDefault="00531C1C" w:rsidP="000D2285">
      <w:pPr>
        <w:spacing w:after="0" w:line="240" w:lineRule="auto"/>
      </w:pPr>
      <w:r>
        <w:continuationSeparator/>
      </w:r>
    </w:p>
  </w:footnote>
  <w:footnote w:type="continuationNotice" w:id="1">
    <w:p w14:paraId="46A0595F" w14:textId="77777777" w:rsidR="00531C1C" w:rsidRDefault="00531C1C">
      <w:pPr>
        <w:spacing w:after="0" w:line="240" w:lineRule="auto"/>
      </w:pPr>
    </w:p>
  </w:footnote>
  <w:footnote w:id="2">
    <w:p w14:paraId="38233AF9" w14:textId="44C36879" w:rsidR="00484FFB" w:rsidRPr="00484FFB" w:rsidRDefault="00484FFB" w:rsidP="00484FFB">
      <w:pPr>
        <w:pStyle w:val="Notedebasdepage"/>
        <w:rPr>
          <w:lang w:val="fr-BE"/>
        </w:rPr>
      </w:pPr>
      <w:r>
        <w:rPr>
          <w:rStyle w:val="Appelnotedebasdep"/>
        </w:rPr>
        <w:footnoteRef/>
      </w:r>
      <w:r w:rsidRPr="00484FFB">
        <w:rPr>
          <w:lang w:val="fr-BE"/>
        </w:rPr>
        <w:t xml:space="preserve"> </w:t>
      </w:r>
      <w:r>
        <w:rPr>
          <w:lang w:val="fr-BE"/>
        </w:rPr>
        <w:t xml:space="preserve">Sciensano (2021), </w:t>
      </w:r>
      <w:r w:rsidRPr="00824019">
        <w:rPr>
          <w:lang w:val="fr-FR"/>
        </w:rPr>
        <w:t>“</w:t>
      </w:r>
      <w:r>
        <w:rPr>
          <w:lang w:val="fr-FR"/>
        </w:rPr>
        <w:t>S</w:t>
      </w:r>
      <w:r w:rsidRPr="00484FFB">
        <w:rPr>
          <w:lang w:val="fr-BE"/>
        </w:rPr>
        <w:t xml:space="preserve">urveillance </w:t>
      </w:r>
      <w:r>
        <w:rPr>
          <w:lang w:val="fr-BE"/>
        </w:rPr>
        <w:t>COVID</w:t>
      </w:r>
      <w:r w:rsidRPr="00484FFB">
        <w:rPr>
          <w:lang w:val="fr-BE"/>
        </w:rPr>
        <w:t>-19 en</w:t>
      </w:r>
      <w:r>
        <w:rPr>
          <w:lang w:val="fr-BE"/>
        </w:rPr>
        <w:t xml:space="preserve"> </w:t>
      </w:r>
      <w:r w:rsidRPr="00484FFB">
        <w:rPr>
          <w:lang w:val="fr-BE"/>
        </w:rPr>
        <w:t>maisons de repos et maisons</w:t>
      </w:r>
      <w:r>
        <w:rPr>
          <w:lang w:val="fr-BE"/>
        </w:rPr>
        <w:t xml:space="preserve"> </w:t>
      </w:r>
      <w:r w:rsidRPr="00484FFB">
        <w:rPr>
          <w:lang w:val="fr-BE"/>
        </w:rPr>
        <w:t>de repos et de soins</w:t>
      </w:r>
      <w:r>
        <w:rPr>
          <w:lang w:val="fr-BE"/>
        </w:rPr>
        <w:t xml:space="preserve"> : </w:t>
      </w:r>
      <w:r w:rsidRPr="00484FFB">
        <w:rPr>
          <w:lang w:val="fr-BE"/>
        </w:rPr>
        <w:t>rapport de la semaine 26</w:t>
      </w:r>
      <w:r>
        <w:rPr>
          <w:lang w:val="fr-BE"/>
        </w:rPr>
        <w:t xml:space="preserve"> </w:t>
      </w:r>
      <w:r w:rsidRPr="00484FFB">
        <w:rPr>
          <w:lang w:val="fr-BE"/>
        </w:rPr>
        <w:t xml:space="preserve">(données jusqu’au 29 juin 2021 </w:t>
      </w:r>
      <w:r w:rsidR="003E4E31" w:rsidRPr="00484FFB">
        <w:rPr>
          <w:lang w:val="fr-BE"/>
        </w:rPr>
        <w:t>inclus)</w:t>
      </w:r>
      <w:r w:rsidR="003E4E31" w:rsidRPr="00824019">
        <w:rPr>
          <w:lang w:val="fr-FR"/>
        </w:rPr>
        <w:t>“</w:t>
      </w:r>
      <w:r w:rsidR="00846C8E">
        <w:rPr>
          <w:lang w:val="fr-FR"/>
        </w:rPr>
        <w:t xml:space="preserve">, </w:t>
      </w:r>
      <w:r w:rsidR="00846C8E" w:rsidRPr="00846C8E">
        <w:rPr>
          <w:lang w:val="fr-FR"/>
        </w:rPr>
        <w:t>Bruxelles</w:t>
      </w:r>
      <w:r w:rsidR="00846C8E">
        <w:rPr>
          <w:lang w:val="fr-FR"/>
        </w:rPr>
        <w:t>,</w:t>
      </w:r>
      <w:r w:rsidR="00846C8E" w:rsidRPr="00846C8E">
        <w:rPr>
          <w:lang w:val="fr-FR"/>
        </w:rPr>
        <w:t xml:space="preserve"> Juin 2021</w:t>
      </w:r>
      <w:r w:rsidR="00846C8E">
        <w:rPr>
          <w:lang w:val="fr-FR"/>
        </w:rPr>
        <w:t>.</w:t>
      </w:r>
    </w:p>
  </w:footnote>
  <w:footnote w:id="3">
    <w:p w14:paraId="7A34EADC" w14:textId="77777777" w:rsidR="004958D2" w:rsidRPr="00846C8E" w:rsidRDefault="004958D2" w:rsidP="004958D2">
      <w:pPr>
        <w:pStyle w:val="Notedebasdepage"/>
        <w:rPr>
          <w:lang w:val="fr-BE"/>
        </w:rPr>
      </w:pPr>
      <w:r>
        <w:rPr>
          <w:rStyle w:val="Appelnotedebasdep"/>
        </w:rPr>
        <w:footnoteRef/>
      </w:r>
      <w:r w:rsidRPr="00846C8E">
        <w:rPr>
          <w:lang w:val="fr-BE"/>
        </w:rPr>
        <w:t xml:space="preserve"> Mutualités Libres (2014), </w:t>
      </w:r>
      <w:r w:rsidRPr="000D2285">
        <w:rPr>
          <w:lang w:val="fr-FR"/>
        </w:rPr>
        <w:t>Analyse de la consommation de médicaments en maison de repos</w:t>
      </w:r>
    </w:p>
  </w:footnote>
  <w:footnote w:id="4">
    <w:p w14:paraId="0CB330A2" w14:textId="77777777" w:rsidR="009E2073" w:rsidRPr="007B5C1A" w:rsidRDefault="009E2073" w:rsidP="009E2073">
      <w:pPr>
        <w:pStyle w:val="Notedebasdepage"/>
        <w:rPr>
          <w:lang w:val="fr-FR"/>
        </w:rPr>
      </w:pPr>
      <w:r>
        <w:rPr>
          <w:rStyle w:val="Appelnotedebasdep"/>
        </w:rPr>
        <w:footnoteRef/>
      </w:r>
      <w:r w:rsidRPr="007B5C1A">
        <w:rPr>
          <w:lang w:val="fr-FR"/>
        </w:rPr>
        <w:t xml:space="preserve"> </w:t>
      </w:r>
      <w:r w:rsidRPr="00D13CA4">
        <w:rPr>
          <w:lang w:val="fr-FR"/>
        </w:rPr>
        <w:t>Sci</w:t>
      </w:r>
      <w:r>
        <w:rPr>
          <w:lang w:val="fr-FR"/>
        </w:rPr>
        <w:t xml:space="preserve">ensano (2021), </w:t>
      </w:r>
      <w:r w:rsidRPr="00824019">
        <w:rPr>
          <w:lang w:val="fr-FR"/>
        </w:rPr>
        <w:t>“</w:t>
      </w:r>
      <w:r w:rsidRPr="00D13CA4">
        <w:rPr>
          <w:lang w:val="fr-FR"/>
        </w:rPr>
        <w:t>Cinquième enquête de santé COVID-19 : résultats préliminaires</w:t>
      </w:r>
      <w:r w:rsidRPr="005D207A">
        <w:rPr>
          <w:lang w:val="fr-FR"/>
        </w:rPr>
        <w:t>”</w:t>
      </w:r>
      <w:r>
        <w:rPr>
          <w:lang w:val="fr-FR"/>
        </w:rPr>
        <w:t>,</w:t>
      </w:r>
      <w:r w:rsidRPr="00D13CA4">
        <w:rPr>
          <w:lang w:val="fr-FR"/>
        </w:rPr>
        <w:t xml:space="preserve"> Bruxelles</w:t>
      </w:r>
      <w:r>
        <w:rPr>
          <w:lang w:val="fr-FR"/>
        </w:rPr>
        <w:t>, avril 2021.</w:t>
      </w:r>
    </w:p>
  </w:footnote>
  <w:footnote w:id="5">
    <w:p w14:paraId="3C6D7617" w14:textId="64116C5A" w:rsidR="00166097" w:rsidRPr="00166097" w:rsidRDefault="00166097">
      <w:pPr>
        <w:pStyle w:val="Notedebasdepage"/>
        <w:rPr>
          <w:lang w:val="es-ES"/>
        </w:rPr>
      </w:pPr>
      <w:r>
        <w:rPr>
          <w:rStyle w:val="Appelnotedebasdep"/>
        </w:rPr>
        <w:footnoteRef/>
      </w:r>
      <w:r w:rsidRPr="00166097">
        <w:rPr>
          <w:lang w:val="es-ES"/>
        </w:rPr>
        <w:t xml:space="preserve"> INAMI: </w:t>
      </w:r>
      <w:hyperlink r:id="rId1" w:history="1">
        <w:r w:rsidRPr="001922A1">
          <w:rPr>
            <w:rStyle w:val="Lienhypertexte"/>
            <w:lang w:val="es-ES"/>
          </w:rPr>
          <w:t>https://www.riziv.fgov.be/fr/professionnels/sante/infirmiers/soins/Pages/echelle-evaluation-katz.aspx</w:t>
        </w:r>
      </w:hyperlink>
      <w:r>
        <w:rPr>
          <w:lang w:val="es-ES"/>
        </w:rPr>
        <w:t xml:space="preserve"> </w:t>
      </w:r>
    </w:p>
  </w:footnote>
  <w:footnote w:id="6">
    <w:p w14:paraId="11D94F86" w14:textId="77777777" w:rsidR="00E82C99" w:rsidRPr="00FE7E93" w:rsidRDefault="00E82C99" w:rsidP="00E82C99">
      <w:pPr>
        <w:pStyle w:val="Notedebasdepage"/>
        <w:rPr>
          <w:lang w:val="fr-BE"/>
        </w:rPr>
      </w:pPr>
      <w:r>
        <w:rPr>
          <w:rStyle w:val="Appelnotedebasdep"/>
        </w:rPr>
        <w:footnoteRef/>
      </w:r>
      <w:r w:rsidRPr="00FE7E93">
        <w:rPr>
          <w:lang w:val="fr-BE"/>
        </w:rPr>
        <w:t xml:space="preserve"> </w:t>
      </w:r>
      <w:r>
        <w:rPr>
          <w:lang w:val="fr-BE"/>
        </w:rPr>
        <w:t xml:space="preserve">ING - </w:t>
      </w:r>
      <w:r w:rsidRPr="00FE7E93">
        <w:rPr>
          <w:lang w:val="fr-BE"/>
        </w:rPr>
        <w:t>Maisons de repos:</w:t>
      </w:r>
      <w:r>
        <w:rPr>
          <w:lang w:val="fr-BE"/>
        </w:rPr>
        <w:t xml:space="preserve"> </w:t>
      </w:r>
      <w:r w:rsidRPr="00FE7E93">
        <w:rPr>
          <w:lang w:val="fr-BE"/>
        </w:rPr>
        <w:t>tendances et</w:t>
      </w:r>
      <w:r>
        <w:rPr>
          <w:lang w:val="fr-BE"/>
        </w:rPr>
        <w:t xml:space="preserve"> </w:t>
      </w:r>
      <w:r w:rsidRPr="00FE7E93">
        <w:rPr>
          <w:lang w:val="fr-BE"/>
        </w:rPr>
        <w:t>indicateurs (2018)</w:t>
      </w:r>
    </w:p>
  </w:footnote>
  <w:footnote w:id="7">
    <w:p w14:paraId="7FDA658F" w14:textId="77777777" w:rsidR="006A1A39" w:rsidRPr="00996212" w:rsidRDefault="006A1A39" w:rsidP="006A1A39">
      <w:pPr>
        <w:pStyle w:val="Notedebasdepage"/>
        <w:rPr>
          <w:lang w:val="fr-BE"/>
        </w:rPr>
      </w:pPr>
      <w:r>
        <w:rPr>
          <w:rStyle w:val="Appelnotedebasdep"/>
        </w:rPr>
        <w:footnoteRef/>
      </w:r>
      <w:r w:rsidRPr="00996212">
        <w:rPr>
          <w:lang w:val="fr-BE"/>
        </w:rPr>
        <w:t xml:space="preserve"> INAMI - Tarifer par unité des médicaments délivrés en pharmacie publique aux résidents des MRPA ou MRS </w:t>
      </w:r>
      <w:hyperlink r:id="rId2" w:history="1">
        <w:r w:rsidRPr="00996212">
          <w:rPr>
            <w:rStyle w:val="Lienhypertexte"/>
            <w:lang w:val="fr-BE"/>
          </w:rPr>
          <w:t>https://www.inami.fgov.be/fr/themes/cout-remboursement/par-mutualite/medicament-produits-sante/tarifer-medicaments/Pages/tarifer-unite-medicaments-pharmacie-publique-mrpa-mrs.aspx</w:t>
        </w:r>
      </w:hyperlink>
      <w:r w:rsidRPr="00996212">
        <w:rPr>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7B4A"/>
    <w:multiLevelType w:val="hybridMultilevel"/>
    <w:tmpl w:val="1D3859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7BC6CDA"/>
    <w:multiLevelType w:val="hybridMultilevel"/>
    <w:tmpl w:val="6F2EC9DE"/>
    <w:lvl w:ilvl="0" w:tplc="B10CC1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C50CF"/>
    <w:multiLevelType w:val="hybridMultilevel"/>
    <w:tmpl w:val="CC5454D8"/>
    <w:lvl w:ilvl="0" w:tplc="E780C99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1C3ACE"/>
    <w:multiLevelType w:val="hybridMultilevel"/>
    <w:tmpl w:val="E9784814"/>
    <w:lvl w:ilvl="0" w:tplc="9C7252D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4B128E"/>
    <w:multiLevelType w:val="hybridMultilevel"/>
    <w:tmpl w:val="2C0298C4"/>
    <w:lvl w:ilvl="0" w:tplc="E744C53C">
      <w:start w:val="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3C20AB"/>
    <w:multiLevelType w:val="hybridMultilevel"/>
    <w:tmpl w:val="59C4265E"/>
    <w:lvl w:ilvl="0" w:tplc="F0545AF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EE1843"/>
    <w:multiLevelType w:val="hybridMultilevel"/>
    <w:tmpl w:val="9B7089D6"/>
    <w:lvl w:ilvl="0" w:tplc="09AC5E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913CF2"/>
    <w:multiLevelType w:val="hybridMultilevel"/>
    <w:tmpl w:val="804678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37F4328"/>
    <w:multiLevelType w:val="hybridMultilevel"/>
    <w:tmpl w:val="86364D56"/>
    <w:lvl w:ilvl="0" w:tplc="7206D5E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96345B"/>
    <w:multiLevelType w:val="hybridMultilevel"/>
    <w:tmpl w:val="643E2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056A94"/>
    <w:multiLevelType w:val="hybridMultilevel"/>
    <w:tmpl w:val="E9A889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2"/>
  </w:num>
  <w:num w:numId="6">
    <w:abstractNumId w:val="3"/>
  </w:num>
  <w:num w:numId="7">
    <w:abstractNumId w:val="4"/>
  </w:num>
  <w:num w:numId="8">
    <w:abstractNumId w:val="0"/>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75"/>
    <w:rsid w:val="000056E3"/>
    <w:rsid w:val="00011C03"/>
    <w:rsid w:val="000305BC"/>
    <w:rsid w:val="00032E9A"/>
    <w:rsid w:val="00033256"/>
    <w:rsid w:val="0003715F"/>
    <w:rsid w:val="00055F4B"/>
    <w:rsid w:val="00061E56"/>
    <w:rsid w:val="000C215D"/>
    <w:rsid w:val="000D2285"/>
    <w:rsid w:val="00112BAB"/>
    <w:rsid w:val="00113B40"/>
    <w:rsid w:val="001144F0"/>
    <w:rsid w:val="00117EFA"/>
    <w:rsid w:val="001377C6"/>
    <w:rsid w:val="001404CB"/>
    <w:rsid w:val="00140719"/>
    <w:rsid w:val="00166097"/>
    <w:rsid w:val="00180F6A"/>
    <w:rsid w:val="00190C53"/>
    <w:rsid w:val="00191CB4"/>
    <w:rsid w:val="001B0D61"/>
    <w:rsid w:val="001B3FB8"/>
    <w:rsid w:val="001D22C3"/>
    <w:rsid w:val="001F2DFC"/>
    <w:rsid w:val="00206537"/>
    <w:rsid w:val="00216959"/>
    <w:rsid w:val="00221F61"/>
    <w:rsid w:val="00222A75"/>
    <w:rsid w:val="00233CD0"/>
    <w:rsid w:val="0024788C"/>
    <w:rsid w:val="002662AA"/>
    <w:rsid w:val="00273768"/>
    <w:rsid w:val="00276A29"/>
    <w:rsid w:val="002A1CBF"/>
    <w:rsid w:val="002A4E05"/>
    <w:rsid w:val="002A7EE9"/>
    <w:rsid w:val="002C1A48"/>
    <w:rsid w:val="002C2C86"/>
    <w:rsid w:val="002D0C01"/>
    <w:rsid w:val="002D5442"/>
    <w:rsid w:val="002E0F14"/>
    <w:rsid w:val="002F2D71"/>
    <w:rsid w:val="003004B1"/>
    <w:rsid w:val="00300757"/>
    <w:rsid w:val="0031147A"/>
    <w:rsid w:val="00342A0C"/>
    <w:rsid w:val="0038272A"/>
    <w:rsid w:val="003857B5"/>
    <w:rsid w:val="00390E66"/>
    <w:rsid w:val="003B0824"/>
    <w:rsid w:val="003B6BC2"/>
    <w:rsid w:val="003B7E10"/>
    <w:rsid w:val="003C5414"/>
    <w:rsid w:val="003C686C"/>
    <w:rsid w:val="003C6D89"/>
    <w:rsid w:val="003E1743"/>
    <w:rsid w:val="003E4E31"/>
    <w:rsid w:val="004126B1"/>
    <w:rsid w:val="004135EE"/>
    <w:rsid w:val="004412A9"/>
    <w:rsid w:val="004618BB"/>
    <w:rsid w:val="004768EA"/>
    <w:rsid w:val="0048423E"/>
    <w:rsid w:val="00484FFB"/>
    <w:rsid w:val="004909D4"/>
    <w:rsid w:val="00491C99"/>
    <w:rsid w:val="004958D2"/>
    <w:rsid w:val="004A3DBE"/>
    <w:rsid w:val="004C64E5"/>
    <w:rsid w:val="004E18CD"/>
    <w:rsid w:val="005118B6"/>
    <w:rsid w:val="005269EA"/>
    <w:rsid w:val="00531C1C"/>
    <w:rsid w:val="00535BC8"/>
    <w:rsid w:val="00563D31"/>
    <w:rsid w:val="005776F6"/>
    <w:rsid w:val="005B0171"/>
    <w:rsid w:val="005B4F47"/>
    <w:rsid w:val="005B61E9"/>
    <w:rsid w:val="005B635B"/>
    <w:rsid w:val="005B6C0E"/>
    <w:rsid w:val="005C4A51"/>
    <w:rsid w:val="00601F98"/>
    <w:rsid w:val="00613194"/>
    <w:rsid w:val="00636EE0"/>
    <w:rsid w:val="0069321D"/>
    <w:rsid w:val="00696FF5"/>
    <w:rsid w:val="006A1A39"/>
    <w:rsid w:val="006A54B4"/>
    <w:rsid w:val="006E00EF"/>
    <w:rsid w:val="00721E95"/>
    <w:rsid w:val="00722D66"/>
    <w:rsid w:val="00735AED"/>
    <w:rsid w:val="0074118B"/>
    <w:rsid w:val="00752928"/>
    <w:rsid w:val="0075458B"/>
    <w:rsid w:val="00754688"/>
    <w:rsid w:val="007A70BF"/>
    <w:rsid w:val="007B0A5D"/>
    <w:rsid w:val="007B58B9"/>
    <w:rsid w:val="007B5C1A"/>
    <w:rsid w:val="007C4E53"/>
    <w:rsid w:val="007D0BCC"/>
    <w:rsid w:val="00813048"/>
    <w:rsid w:val="00843AA8"/>
    <w:rsid w:val="008457B5"/>
    <w:rsid w:val="00846C8E"/>
    <w:rsid w:val="00853358"/>
    <w:rsid w:val="00887DC4"/>
    <w:rsid w:val="008B029F"/>
    <w:rsid w:val="008C595B"/>
    <w:rsid w:val="008F3921"/>
    <w:rsid w:val="00917C57"/>
    <w:rsid w:val="0093227B"/>
    <w:rsid w:val="00943003"/>
    <w:rsid w:val="00946D5C"/>
    <w:rsid w:val="00950F04"/>
    <w:rsid w:val="00962985"/>
    <w:rsid w:val="00971EAC"/>
    <w:rsid w:val="00977A33"/>
    <w:rsid w:val="00996212"/>
    <w:rsid w:val="0099719E"/>
    <w:rsid w:val="009B1033"/>
    <w:rsid w:val="009D485B"/>
    <w:rsid w:val="009E2073"/>
    <w:rsid w:val="009E4D30"/>
    <w:rsid w:val="00A02EDC"/>
    <w:rsid w:val="00A2165E"/>
    <w:rsid w:val="00A2369A"/>
    <w:rsid w:val="00A60018"/>
    <w:rsid w:val="00A6283E"/>
    <w:rsid w:val="00A73C39"/>
    <w:rsid w:val="00A74104"/>
    <w:rsid w:val="00A914B9"/>
    <w:rsid w:val="00A943AD"/>
    <w:rsid w:val="00AA043F"/>
    <w:rsid w:val="00AB2E6F"/>
    <w:rsid w:val="00AB3669"/>
    <w:rsid w:val="00AC1874"/>
    <w:rsid w:val="00AC5AFC"/>
    <w:rsid w:val="00AD41D4"/>
    <w:rsid w:val="00AD6034"/>
    <w:rsid w:val="00AF39D8"/>
    <w:rsid w:val="00AF4E69"/>
    <w:rsid w:val="00B10BD7"/>
    <w:rsid w:val="00B21916"/>
    <w:rsid w:val="00B51807"/>
    <w:rsid w:val="00BA0FBF"/>
    <w:rsid w:val="00BA56CC"/>
    <w:rsid w:val="00BB1618"/>
    <w:rsid w:val="00BB6744"/>
    <w:rsid w:val="00BC095C"/>
    <w:rsid w:val="00BC3D00"/>
    <w:rsid w:val="00BE1729"/>
    <w:rsid w:val="00C0495C"/>
    <w:rsid w:val="00C173CF"/>
    <w:rsid w:val="00C22D59"/>
    <w:rsid w:val="00C2672C"/>
    <w:rsid w:val="00C41F03"/>
    <w:rsid w:val="00C616A3"/>
    <w:rsid w:val="00CD089D"/>
    <w:rsid w:val="00CD5A9C"/>
    <w:rsid w:val="00CD72B3"/>
    <w:rsid w:val="00CD78BC"/>
    <w:rsid w:val="00CF1007"/>
    <w:rsid w:val="00D34ED8"/>
    <w:rsid w:val="00D34F82"/>
    <w:rsid w:val="00D35762"/>
    <w:rsid w:val="00D75878"/>
    <w:rsid w:val="00DA3487"/>
    <w:rsid w:val="00DE11C6"/>
    <w:rsid w:val="00DE3897"/>
    <w:rsid w:val="00E129E1"/>
    <w:rsid w:val="00E12D6B"/>
    <w:rsid w:val="00E208E7"/>
    <w:rsid w:val="00E22185"/>
    <w:rsid w:val="00E40C9E"/>
    <w:rsid w:val="00E5409C"/>
    <w:rsid w:val="00E540F9"/>
    <w:rsid w:val="00E82C99"/>
    <w:rsid w:val="00EA318E"/>
    <w:rsid w:val="00EA4809"/>
    <w:rsid w:val="00EA4CB5"/>
    <w:rsid w:val="00EC3BEB"/>
    <w:rsid w:val="00EE141F"/>
    <w:rsid w:val="00EE1472"/>
    <w:rsid w:val="00EF2EE9"/>
    <w:rsid w:val="00EF66E7"/>
    <w:rsid w:val="00F35898"/>
    <w:rsid w:val="00F47254"/>
    <w:rsid w:val="00F70354"/>
    <w:rsid w:val="00F722A8"/>
    <w:rsid w:val="00F72453"/>
    <w:rsid w:val="00F77861"/>
    <w:rsid w:val="00F80588"/>
    <w:rsid w:val="00F80CBC"/>
    <w:rsid w:val="00F82CED"/>
    <w:rsid w:val="00F96BC0"/>
    <w:rsid w:val="00FB02D1"/>
    <w:rsid w:val="00FB602B"/>
    <w:rsid w:val="00FC3316"/>
    <w:rsid w:val="00FC6A5B"/>
    <w:rsid w:val="00FD00D4"/>
    <w:rsid w:val="00FE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58BD"/>
  <w15:chartTrackingRefBased/>
  <w15:docId w15:val="{C83416DE-43E4-4F29-BA77-9808FE87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01F98"/>
    <w:pPr>
      <w:keepNext/>
      <w:keepLines/>
      <w:spacing w:before="240" w:after="0"/>
      <w:outlineLvl w:val="0"/>
    </w:pPr>
    <w:rPr>
      <w:rFonts w:asciiTheme="majorHAnsi" w:eastAsiaTheme="majorEastAsia" w:hAnsiTheme="majorHAnsi" w:cstheme="majorBidi"/>
      <w:color w:val="A98300" w:themeColor="accent1" w:themeShade="BF"/>
      <w:sz w:val="32"/>
      <w:szCs w:val="32"/>
    </w:rPr>
  </w:style>
  <w:style w:type="paragraph" w:styleId="Titre2">
    <w:name w:val="heading 2"/>
    <w:basedOn w:val="Normal"/>
    <w:next w:val="Normal"/>
    <w:link w:val="Titre2Car"/>
    <w:uiPriority w:val="9"/>
    <w:unhideWhenUsed/>
    <w:qFormat/>
    <w:rsid w:val="00BC095C"/>
    <w:pPr>
      <w:keepNext/>
      <w:keepLines/>
      <w:spacing w:before="40" w:after="0"/>
      <w:outlineLvl w:val="1"/>
    </w:pPr>
    <w:rPr>
      <w:rFonts w:asciiTheme="majorHAnsi" w:eastAsiaTheme="majorEastAsia" w:hAnsiTheme="majorHAnsi" w:cstheme="majorBidi"/>
      <w:color w:val="A98300"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2E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EE9"/>
    <w:rPr>
      <w:rFonts w:ascii="Segoe UI" w:hAnsi="Segoe UI" w:cs="Segoe UI"/>
      <w:sz w:val="18"/>
      <w:szCs w:val="18"/>
    </w:rPr>
  </w:style>
  <w:style w:type="paragraph" w:styleId="Notedebasdepage">
    <w:name w:val="footnote text"/>
    <w:basedOn w:val="Normal"/>
    <w:link w:val="NotedebasdepageCar"/>
    <w:uiPriority w:val="99"/>
    <w:semiHidden/>
    <w:unhideWhenUsed/>
    <w:rsid w:val="000D22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2285"/>
    <w:rPr>
      <w:sz w:val="20"/>
      <w:szCs w:val="20"/>
    </w:rPr>
  </w:style>
  <w:style w:type="character" w:styleId="Appelnotedebasdep">
    <w:name w:val="footnote reference"/>
    <w:basedOn w:val="Policepardfaut"/>
    <w:uiPriority w:val="99"/>
    <w:semiHidden/>
    <w:unhideWhenUsed/>
    <w:rsid w:val="000D2285"/>
    <w:rPr>
      <w:vertAlign w:val="superscript"/>
    </w:rPr>
  </w:style>
  <w:style w:type="paragraph" w:styleId="En-tte">
    <w:name w:val="header"/>
    <w:basedOn w:val="Normal"/>
    <w:link w:val="En-tteCar"/>
    <w:uiPriority w:val="99"/>
    <w:unhideWhenUsed/>
    <w:rsid w:val="00FB602B"/>
    <w:pPr>
      <w:tabs>
        <w:tab w:val="center" w:pos="4513"/>
        <w:tab w:val="right" w:pos="9026"/>
      </w:tabs>
      <w:spacing w:after="0" w:line="240" w:lineRule="auto"/>
    </w:pPr>
  </w:style>
  <w:style w:type="character" w:customStyle="1" w:styleId="En-tteCar">
    <w:name w:val="En-tête Car"/>
    <w:basedOn w:val="Policepardfaut"/>
    <w:link w:val="En-tte"/>
    <w:uiPriority w:val="99"/>
    <w:rsid w:val="00FB602B"/>
  </w:style>
  <w:style w:type="paragraph" w:styleId="Pieddepage">
    <w:name w:val="footer"/>
    <w:basedOn w:val="Normal"/>
    <w:link w:val="PieddepageCar"/>
    <w:uiPriority w:val="99"/>
    <w:unhideWhenUsed/>
    <w:rsid w:val="00FB602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B602B"/>
  </w:style>
  <w:style w:type="character" w:customStyle="1" w:styleId="Titre1Car">
    <w:name w:val="Titre 1 Car"/>
    <w:basedOn w:val="Policepardfaut"/>
    <w:link w:val="Titre1"/>
    <w:uiPriority w:val="9"/>
    <w:rsid w:val="00601F98"/>
    <w:rPr>
      <w:rFonts w:asciiTheme="majorHAnsi" w:eastAsiaTheme="majorEastAsia" w:hAnsiTheme="majorHAnsi" w:cstheme="majorBidi"/>
      <w:color w:val="A98300" w:themeColor="accent1" w:themeShade="BF"/>
      <w:sz w:val="32"/>
      <w:szCs w:val="32"/>
    </w:rPr>
  </w:style>
  <w:style w:type="paragraph" w:styleId="Lgende">
    <w:name w:val="caption"/>
    <w:basedOn w:val="Normal"/>
    <w:next w:val="Normal"/>
    <w:uiPriority w:val="35"/>
    <w:unhideWhenUsed/>
    <w:qFormat/>
    <w:rsid w:val="007A70BF"/>
    <w:pPr>
      <w:spacing w:after="200" w:line="240" w:lineRule="auto"/>
    </w:pPr>
    <w:rPr>
      <w:i/>
      <w:iCs/>
      <w:color w:val="B6C932" w:themeColor="text2"/>
      <w:sz w:val="18"/>
      <w:szCs w:val="18"/>
    </w:rPr>
  </w:style>
  <w:style w:type="table" w:styleId="Grilledutableau">
    <w:name w:val="Table Grid"/>
    <w:basedOn w:val="TableauNormal"/>
    <w:uiPriority w:val="39"/>
    <w:rsid w:val="007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CD72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72B3"/>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CD72B3"/>
    <w:pPr>
      <w:ind w:left="720"/>
      <w:contextualSpacing/>
    </w:pPr>
  </w:style>
  <w:style w:type="character" w:styleId="Lienhypertexte">
    <w:name w:val="Hyperlink"/>
    <w:basedOn w:val="Policepardfaut"/>
    <w:uiPriority w:val="99"/>
    <w:unhideWhenUsed/>
    <w:rsid w:val="00166097"/>
    <w:rPr>
      <w:color w:val="0000FF" w:themeColor="hyperlink"/>
      <w:u w:val="single"/>
    </w:rPr>
  </w:style>
  <w:style w:type="character" w:styleId="Mentionnonrsolue">
    <w:name w:val="Unresolved Mention"/>
    <w:basedOn w:val="Policepardfaut"/>
    <w:uiPriority w:val="99"/>
    <w:semiHidden/>
    <w:unhideWhenUsed/>
    <w:rsid w:val="00166097"/>
    <w:rPr>
      <w:color w:val="605E5C"/>
      <w:shd w:val="clear" w:color="auto" w:fill="E1DFDD"/>
    </w:rPr>
  </w:style>
  <w:style w:type="character" w:customStyle="1" w:styleId="Titre2Car">
    <w:name w:val="Titre 2 Car"/>
    <w:basedOn w:val="Policepardfaut"/>
    <w:link w:val="Titre2"/>
    <w:uiPriority w:val="9"/>
    <w:rsid w:val="00BC095C"/>
    <w:rPr>
      <w:rFonts w:asciiTheme="majorHAnsi" w:eastAsiaTheme="majorEastAsia" w:hAnsiTheme="majorHAnsi" w:cstheme="majorBidi"/>
      <w:color w:val="A98300" w:themeColor="accent1" w:themeShade="BF"/>
      <w:sz w:val="26"/>
      <w:szCs w:val="26"/>
    </w:rPr>
  </w:style>
  <w:style w:type="character" w:styleId="Marquedecommentaire">
    <w:name w:val="annotation reference"/>
    <w:basedOn w:val="Policepardfaut"/>
    <w:uiPriority w:val="99"/>
    <w:semiHidden/>
    <w:unhideWhenUsed/>
    <w:rsid w:val="00061E56"/>
    <w:rPr>
      <w:sz w:val="16"/>
      <w:szCs w:val="16"/>
    </w:rPr>
  </w:style>
  <w:style w:type="paragraph" w:styleId="Commentaire">
    <w:name w:val="annotation text"/>
    <w:basedOn w:val="Normal"/>
    <w:link w:val="CommentaireCar"/>
    <w:uiPriority w:val="99"/>
    <w:unhideWhenUsed/>
    <w:rsid w:val="00E208E7"/>
    <w:pPr>
      <w:spacing w:line="240" w:lineRule="auto"/>
    </w:pPr>
    <w:rPr>
      <w:sz w:val="20"/>
      <w:szCs w:val="20"/>
    </w:rPr>
  </w:style>
  <w:style w:type="character" w:customStyle="1" w:styleId="CommentaireCar">
    <w:name w:val="Commentaire Car"/>
    <w:basedOn w:val="Policepardfaut"/>
    <w:link w:val="Commentaire"/>
    <w:uiPriority w:val="99"/>
    <w:rsid w:val="00061E56"/>
    <w:rPr>
      <w:sz w:val="20"/>
      <w:szCs w:val="20"/>
    </w:rPr>
  </w:style>
  <w:style w:type="paragraph" w:styleId="Objetducommentaire">
    <w:name w:val="annotation subject"/>
    <w:basedOn w:val="Commentaire"/>
    <w:next w:val="Commentaire"/>
    <w:link w:val="ObjetducommentaireCar"/>
    <w:uiPriority w:val="99"/>
    <w:semiHidden/>
    <w:unhideWhenUsed/>
    <w:rsid w:val="00061E56"/>
    <w:rPr>
      <w:b/>
      <w:bCs/>
    </w:rPr>
  </w:style>
  <w:style w:type="character" w:customStyle="1" w:styleId="ObjetducommentaireCar">
    <w:name w:val="Objet du commentaire Car"/>
    <w:basedOn w:val="CommentaireCar"/>
    <w:link w:val="Objetducommentaire"/>
    <w:uiPriority w:val="99"/>
    <w:semiHidden/>
    <w:rsid w:val="00061E56"/>
    <w:rPr>
      <w:b/>
      <w:bCs/>
      <w:sz w:val="20"/>
      <w:szCs w:val="20"/>
    </w:rPr>
  </w:style>
  <w:style w:type="character" w:styleId="Lienhypertextesuivivisit">
    <w:name w:val="FollowedHyperlink"/>
    <w:basedOn w:val="Policepardfaut"/>
    <w:uiPriority w:val="99"/>
    <w:semiHidden/>
    <w:unhideWhenUsed/>
    <w:rsid w:val="00AF39D8"/>
    <w:rPr>
      <w:color w:val="800080" w:themeColor="followedHyperlink"/>
      <w:u w:val="single"/>
    </w:rPr>
  </w:style>
  <w:style w:type="character" w:customStyle="1" w:styleId="tooltip">
    <w:name w:val="tooltip"/>
    <w:basedOn w:val="Policepardfaut"/>
    <w:rsid w:val="0072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77990">
      <w:bodyDiv w:val="1"/>
      <w:marLeft w:val="0"/>
      <w:marRight w:val="0"/>
      <w:marTop w:val="0"/>
      <w:marBottom w:val="0"/>
      <w:divBdr>
        <w:top w:val="none" w:sz="0" w:space="0" w:color="auto"/>
        <w:left w:val="none" w:sz="0" w:space="0" w:color="auto"/>
        <w:bottom w:val="none" w:sz="0" w:space="0" w:color="auto"/>
        <w:right w:val="none" w:sz="0" w:space="0" w:color="auto"/>
      </w:divBdr>
    </w:div>
    <w:div w:id="12233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2" Type="http://schemas.openxmlformats.org/officeDocument/2006/relationships/hyperlink" Target="https://www.inami.fgov.be/fr/themes/cout-remboursement/par-mutualite/medicament-produits-sante/tarifer-medicaments/Pages/tarifer-unite-medicaments-pharmacie-publique-mrpa-mrs.aspx" TargetMode="External"/><Relationship Id="rId1" Type="http://schemas.openxmlformats.org/officeDocument/2006/relationships/hyperlink" Target="https://www.riziv.fgov.be/fr/professionnels/sante/infirmiers/soins/Pages/echelle-evaluation-katz.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500sas01.mloz.be\Data02\GKR\MRS\Copy%20of%20medic_MR13-19-20_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500sas01.mloz.be\Data02\GKR\MRS\Copy%20of%20medic_MR13-19-20_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500sas01.mloz.be\Data02\GKR\MRS\Copy%20of%20medic_MR13-19-20_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500sas01.mloz.be\Data02\GKR\MRS\Copy%20of%20medic_MR13-19-20_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polymédic_synth!$L$27</c:f>
              <c:strCache>
                <c:ptCount val="1"/>
                <c:pt idx="0">
                  <c:v>Bruxelles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polymédic_synth!$J$28:$K$33</c:f>
              <c:multiLvlStrCache>
                <c:ptCount val="6"/>
                <c:lvl>
                  <c:pt idx="0">
                    <c:v>2013</c:v>
                  </c:pt>
                  <c:pt idx="1">
                    <c:v>2019</c:v>
                  </c:pt>
                  <c:pt idx="2">
                    <c:v>2020</c:v>
                  </c:pt>
                  <c:pt idx="3">
                    <c:v>2013</c:v>
                  </c:pt>
                  <c:pt idx="4">
                    <c:v>2019</c:v>
                  </c:pt>
                  <c:pt idx="5">
                    <c:v>2020</c:v>
                  </c:pt>
                </c:lvl>
                <c:lvl>
                  <c:pt idx="0">
                    <c:v>Polymédication</c:v>
                  </c:pt>
                  <c:pt idx="3">
                    <c:v>Hyperpolymédication</c:v>
                  </c:pt>
                </c:lvl>
              </c:multiLvlStrCache>
            </c:multiLvlStrRef>
          </c:cat>
          <c:val>
            <c:numRef>
              <c:f>polymédic_synth!$L$28:$L$33</c:f>
              <c:numCache>
                <c:formatCode>0%</c:formatCode>
                <c:ptCount val="6"/>
                <c:pt idx="0">
                  <c:v>0.505</c:v>
                </c:pt>
                <c:pt idx="1">
                  <c:v>0.45</c:v>
                </c:pt>
                <c:pt idx="2">
                  <c:v>0.41299999999999998</c:v>
                </c:pt>
                <c:pt idx="3">
                  <c:v>6.5000000000000002E-2</c:v>
                </c:pt>
                <c:pt idx="4">
                  <c:v>0.05</c:v>
                </c:pt>
                <c:pt idx="5">
                  <c:v>4.4999999999999998E-2</c:v>
                </c:pt>
              </c:numCache>
            </c:numRef>
          </c:val>
          <c:extLst>
            <c:ext xmlns:c16="http://schemas.microsoft.com/office/drawing/2014/chart" uri="{C3380CC4-5D6E-409C-BE32-E72D297353CC}">
              <c16:uniqueId val="{00000000-D2E4-41BD-96FD-916522BBF7AF}"/>
            </c:ext>
          </c:extLst>
        </c:ser>
        <c:ser>
          <c:idx val="1"/>
          <c:order val="1"/>
          <c:tx>
            <c:strRef>
              <c:f>polymédic_synth!$M$27</c:f>
              <c:strCache>
                <c:ptCount val="1"/>
                <c:pt idx="0">
                  <c:v>Wallonie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polymédic_synth!$J$28:$K$33</c:f>
              <c:multiLvlStrCache>
                <c:ptCount val="6"/>
                <c:lvl>
                  <c:pt idx="0">
                    <c:v>2013</c:v>
                  </c:pt>
                  <c:pt idx="1">
                    <c:v>2019</c:v>
                  </c:pt>
                  <c:pt idx="2">
                    <c:v>2020</c:v>
                  </c:pt>
                  <c:pt idx="3">
                    <c:v>2013</c:v>
                  </c:pt>
                  <c:pt idx="4">
                    <c:v>2019</c:v>
                  </c:pt>
                  <c:pt idx="5">
                    <c:v>2020</c:v>
                  </c:pt>
                </c:lvl>
                <c:lvl>
                  <c:pt idx="0">
                    <c:v>Polymédication</c:v>
                  </c:pt>
                  <c:pt idx="3">
                    <c:v>Hyperpolymédication</c:v>
                  </c:pt>
                </c:lvl>
              </c:multiLvlStrCache>
            </c:multiLvlStrRef>
          </c:cat>
          <c:val>
            <c:numRef>
              <c:f>polymédic_synth!$M$28:$M$33</c:f>
              <c:numCache>
                <c:formatCode>0%</c:formatCode>
                <c:ptCount val="6"/>
                <c:pt idx="0">
                  <c:v>0.56999999999999995</c:v>
                </c:pt>
                <c:pt idx="1">
                  <c:v>0.54</c:v>
                </c:pt>
                <c:pt idx="2">
                  <c:v>0.505</c:v>
                </c:pt>
                <c:pt idx="3">
                  <c:v>0.1</c:v>
                </c:pt>
                <c:pt idx="4">
                  <c:v>0.09</c:v>
                </c:pt>
                <c:pt idx="5">
                  <c:v>7.2999999999999995E-2</c:v>
                </c:pt>
              </c:numCache>
            </c:numRef>
          </c:val>
          <c:extLst>
            <c:ext xmlns:c16="http://schemas.microsoft.com/office/drawing/2014/chart" uri="{C3380CC4-5D6E-409C-BE32-E72D297353CC}">
              <c16:uniqueId val="{00000001-D2E4-41BD-96FD-916522BBF7AF}"/>
            </c:ext>
          </c:extLst>
        </c:ser>
        <c:dLbls>
          <c:showLegendKey val="0"/>
          <c:showVal val="0"/>
          <c:showCatName val="0"/>
          <c:showSerName val="0"/>
          <c:showPercent val="0"/>
          <c:showBubbleSize val="0"/>
        </c:dLbls>
        <c:gapWidth val="219"/>
        <c:axId val="525474256"/>
        <c:axId val="525480488"/>
      </c:barChart>
      <c:catAx>
        <c:axId val="52547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480488"/>
        <c:crosses val="autoZero"/>
        <c:auto val="1"/>
        <c:lblAlgn val="ctr"/>
        <c:lblOffset val="100"/>
        <c:noMultiLvlLbl val="0"/>
      </c:catAx>
      <c:valAx>
        <c:axId val="525480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47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'polymédic_synth (2)'!$D$15</c:f>
              <c:strCache>
                <c:ptCount val="1"/>
                <c:pt idx="0">
                  <c:v>Bruxelles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'polymédic_synth (2)'!$A$16:$C$27</c:f>
              <c:multiLvlStrCache>
                <c:ptCount val="12"/>
                <c:lvl>
                  <c:pt idx="0">
                    <c:v>2013</c:v>
                  </c:pt>
                  <c:pt idx="1">
                    <c:v>2019</c:v>
                  </c:pt>
                  <c:pt idx="2">
                    <c:v>2020</c:v>
                  </c:pt>
                  <c:pt idx="3">
                    <c:v>2013</c:v>
                  </c:pt>
                  <c:pt idx="4">
                    <c:v>2019</c:v>
                  </c:pt>
                  <c:pt idx="5">
                    <c:v>2020</c:v>
                  </c:pt>
                  <c:pt idx="6">
                    <c:v>2013</c:v>
                  </c:pt>
                  <c:pt idx="7">
                    <c:v>2019</c:v>
                  </c:pt>
                  <c:pt idx="8">
                    <c:v>2020</c:v>
                  </c:pt>
                  <c:pt idx="9">
                    <c:v>2013</c:v>
                  </c:pt>
                  <c:pt idx="10">
                    <c:v>2019</c:v>
                  </c:pt>
                  <c:pt idx="11">
                    <c:v>2020</c:v>
                  </c:pt>
                </c:lvl>
                <c:lvl>
                  <c:pt idx="0">
                    <c:v>Moyenne</c:v>
                  </c:pt>
                  <c:pt idx="3">
                    <c:v>Médiane</c:v>
                  </c:pt>
                  <c:pt idx="6">
                    <c:v>Moyenne</c:v>
                  </c:pt>
                  <c:pt idx="9">
                    <c:v>Médiane</c:v>
                  </c:pt>
                </c:lvl>
                <c:lvl>
                  <c:pt idx="0">
                    <c:v>Tous les médicaments</c:v>
                  </c:pt>
                  <c:pt idx="6">
                    <c:v>Les médicaments utilisés de manière chronique (&gt;= 90 jours/an)</c:v>
                  </c:pt>
                </c:lvl>
              </c:multiLvlStrCache>
            </c:multiLvlStrRef>
          </c:cat>
          <c:val>
            <c:numRef>
              <c:f>'polymédic_synth (2)'!$D$16:$D$27</c:f>
              <c:numCache>
                <c:formatCode>0.0</c:formatCode>
                <c:ptCount val="12"/>
                <c:pt idx="0">
                  <c:v>14.4</c:v>
                </c:pt>
                <c:pt idx="1">
                  <c:v>13.5</c:v>
                </c:pt>
                <c:pt idx="2">
                  <c:v>12</c:v>
                </c:pt>
                <c:pt idx="3" formatCode="General">
                  <c:v>12</c:v>
                </c:pt>
                <c:pt idx="4" formatCode="General">
                  <c:v>11</c:v>
                </c:pt>
                <c:pt idx="5" formatCode="General">
                  <c:v>10</c:v>
                </c:pt>
                <c:pt idx="6">
                  <c:v>4.9000000000000004</c:v>
                </c:pt>
                <c:pt idx="7">
                  <c:v>4.5999999999999996</c:v>
                </c:pt>
                <c:pt idx="8">
                  <c:v>4.3</c:v>
                </c:pt>
                <c:pt idx="9" formatCode="General">
                  <c:v>5</c:v>
                </c:pt>
                <c:pt idx="10" formatCode="General">
                  <c:v>4</c:v>
                </c:pt>
                <c:pt idx="11" formatCode="General">
                  <c:v>4</c:v>
                </c:pt>
              </c:numCache>
            </c:numRef>
          </c:val>
          <c:extLst>
            <c:ext xmlns:c16="http://schemas.microsoft.com/office/drawing/2014/chart" uri="{C3380CC4-5D6E-409C-BE32-E72D297353CC}">
              <c16:uniqueId val="{00000000-B0A9-440C-8826-6C7425B5478B}"/>
            </c:ext>
          </c:extLst>
        </c:ser>
        <c:ser>
          <c:idx val="1"/>
          <c:order val="1"/>
          <c:tx>
            <c:strRef>
              <c:f>'polymédic_synth (2)'!$E$15</c:f>
              <c:strCache>
                <c:ptCount val="1"/>
                <c:pt idx="0">
                  <c:v>Wallonie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'polymédic_synth (2)'!$A$16:$C$27</c:f>
              <c:multiLvlStrCache>
                <c:ptCount val="12"/>
                <c:lvl>
                  <c:pt idx="0">
                    <c:v>2013</c:v>
                  </c:pt>
                  <c:pt idx="1">
                    <c:v>2019</c:v>
                  </c:pt>
                  <c:pt idx="2">
                    <c:v>2020</c:v>
                  </c:pt>
                  <c:pt idx="3">
                    <c:v>2013</c:v>
                  </c:pt>
                  <c:pt idx="4">
                    <c:v>2019</c:v>
                  </c:pt>
                  <c:pt idx="5">
                    <c:v>2020</c:v>
                  </c:pt>
                  <c:pt idx="6">
                    <c:v>2013</c:v>
                  </c:pt>
                  <c:pt idx="7">
                    <c:v>2019</c:v>
                  </c:pt>
                  <c:pt idx="8">
                    <c:v>2020</c:v>
                  </c:pt>
                  <c:pt idx="9">
                    <c:v>2013</c:v>
                  </c:pt>
                  <c:pt idx="10">
                    <c:v>2019</c:v>
                  </c:pt>
                  <c:pt idx="11">
                    <c:v>2020</c:v>
                  </c:pt>
                </c:lvl>
                <c:lvl>
                  <c:pt idx="0">
                    <c:v>Moyenne</c:v>
                  </c:pt>
                  <c:pt idx="3">
                    <c:v>Médiane</c:v>
                  </c:pt>
                  <c:pt idx="6">
                    <c:v>Moyenne</c:v>
                  </c:pt>
                  <c:pt idx="9">
                    <c:v>Médiane</c:v>
                  </c:pt>
                </c:lvl>
                <c:lvl>
                  <c:pt idx="0">
                    <c:v>Tous les médicaments</c:v>
                  </c:pt>
                  <c:pt idx="6">
                    <c:v>Les médicaments utilisés de manière chronique (&gt;= 90 jours/an)</c:v>
                  </c:pt>
                </c:lvl>
              </c:multiLvlStrCache>
            </c:multiLvlStrRef>
          </c:cat>
          <c:val>
            <c:numRef>
              <c:f>'polymédic_synth (2)'!$E$16:$E$27</c:f>
              <c:numCache>
                <c:formatCode>0.0</c:formatCode>
                <c:ptCount val="12"/>
                <c:pt idx="0">
                  <c:v>16.3</c:v>
                </c:pt>
                <c:pt idx="1">
                  <c:v>15.6</c:v>
                </c:pt>
                <c:pt idx="2">
                  <c:v>14</c:v>
                </c:pt>
                <c:pt idx="3" formatCode="General">
                  <c:v>14</c:v>
                </c:pt>
                <c:pt idx="4" formatCode="General">
                  <c:v>13</c:v>
                </c:pt>
                <c:pt idx="5" formatCode="General">
                  <c:v>12</c:v>
                </c:pt>
                <c:pt idx="6">
                  <c:v>5.5</c:v>
                </c:pt>
                <c:pt idx="7">
                  <c:v>5.2</c:v>
                </c:pt>
                <c:pt idx="8">
                  <c:v>5</c:v>
                </c:pt>
                <c:pt idx="9" formatCode="General">
                  <c:v>5</c:v>
                </c:pt>
                <c:pt idx="10" formatCode="General">
                  <c:v>5</c:v>
                </c:pt>
                <c:pt idx="11" formatCode="General">
                  <c:v>5</c:v>
                </c:pt>
              </c:numCache>
            </c:numRef>
          </c:val>
          <c:extLst>
            <c:ext xmlns:c16="http://schemas.microsoft.com/office/drawing/2014/chart" uri="{C3380CC4-5D6E-409C-BE32-E72D297353CC}">
              <c16:uniqueId val="{00000001-B0A9-440C-8826-6C7425B5478B}"/>
            </c:ext>
          </c:extLst>
        </c:ser>
        <c:dLbls>
          <c:showLegendKey val="0"/>
          <c:showVal val="0"/>
          <c:showCatName val="0"/>
          <c:showSerName val="0"/>
          <c:showPercent val="0"/>
          <c:showBubbleSize val="0"/>
        </c:dLbls>
        <c:gapWidth val="219"/>
        <c:axId val="783305008"/>
        <c:axId val="783309928"/>
      </c:barChart>
      <c:catAx>
        <c:axId val="78330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09928"/>
        <c:crosses val="autoZero"/>
        <c:auto val="1"/>
        <c:lblAlgn val="ctr"/>
        <c:lblOffset val="100"/>
        <c:noMultiLvlLbl val="0"/>
      </c:catAx>
      <c:valAx>
        <c:axId val="783309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0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'AD-AP_synth (2)'!$C$16</c:f>
              <c:strCache>
                <c:ptCount val="1"/>
                <c:pt idx="0">
                  <c:v>Bruxelles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'AD-AP_synth (2)'!$A$17:$B$22</c:f>
              <c:multiLvlStrCache>
                <c:ptCount val="6"/>
                <c:lvl>
                  <c:pt idx="0">
                    <c:v>2013</c:v>
                  </c:pt>
                  <c:pt idx="1">
                    <c:v>2019</c:v>
                  </c:pt>
                  <c:pt idx="2">
                    <c:v>2020</c:v>
                  </c:pt>
                  <c:pt idx="3">
                    <c:v>2013</c:v>
                  </c:pt>
                  <c:pt idx="4">
                    <c:v>2019</c:v>
                  </c:pt>
                  <c:pt idx="5">
                    <c:v>2020</c:v>
                  </c:pt>
                </c:lvl>
                <c:lvl>
                  <c:pt idx="0">
                    <c:v>Au moins 1 conditionnement/comprimé</c:v>
                  </c:pt>
                  <c:pt idx="3">
                    <c:v>Au moins 90 jours dans le courant de l'année</c:v>
                  </c:pt>
                </c:lvl>
              </c:multiLvlStrCache>
            </c:multiLvlStrRef>
          </c:cat>
          <c:val>
            <c:numRef>
              <c:f>'AD-AP_synth (2)'!$C$17:$C$22</c:f>
              <c:numCache>
                <c:formatCode>0%</c:formatCode>
                <c:ptCount val="6"/>
                <c:pt idx="0">
                  <c:v>0.56999999999999995</c:v>
                </c:pt>
                <c:pt idx="1">
                  <c:v>0.55000000000000004</c:v>
                </c:pt>
                <c:pt idx="2">
                  <c:v>0.55000000000000004</c:v>
                </c:pt>
                <c:pt idx="3">
                  <c:v>0.49</c:v>
                </c:pt>
                <c:pt idx="4">
                  <c:v>0.46</c:v>
                </c:pt>
                <c:pt idx="5">
                  <c:v>0.45</c:v>
                </c:pt>
              </c:numCache>
            </c:numRef>
          </c:val>
          <c:extLst>
            <c:ext xmlns:c16="http://schemas.microsoft.com/office/drawing/2014/chart" uri="{C3380CC4-5D6E-409C-BE32-E72D297353CC}">
              <c16:uniqueId val="{00000000-E2E9-486E-8995-4528A879E16B}"/>
            </c:ext>
          </c:extLst>
        </c:ser>
        <c:ser>
          <c:idx val="1"/>
          <c:order val="1"/>
          <c:tx>
            <c:strRef>
              <c:f>'AD-AP_synth (2)'!$D$16</c:f>
              <c:strCache>
                <c:ptCount val="1"/>
                <c:pt idx="0">
                  <c:v>Wallonie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'AD-AP_synth (2)'!$A$17:$B$22</c:f>
              <c:multiLvlStrCache>
                <c:ptCount val="6"/>
                <c:lvl>
                  <c:pt idx="0">
                    <c:v>2013</c:v>
                  </c:pt>
                  <c:pt idx="1">
                    <c:v>2019</c:v>
                  </c:pt>
                  <c:pt idx="2">
                    <c:v>2020</c:v>
                  </c:pt>
                  <c:pt idx="3">
                    <c:v>2013</c:v>
                  </c:pt>
                  <c:pt idx="4">
                    <c:v>2019</c:v>
                  </c:pt>
                  <c:pt idx="5">
                    <c:v>2020</c:v>
                  </c:pt>
                </c:lvl>
                <c:lvl>
                  <c:pt idx="0">
                    <c:v>Au moins 1 conditionnement/comprimé</c:v>
                  </c:pt>
                  <c:pt idx="3">
                    <c:v>Au moins 90 jours dans le courant de l'année</c:v>
                  </c:pt>
                </c:lvl>
              </c:multiLvlStrCache>
            </c:multiLvlStrRef>
          </c:cat>
          <c:val>
            <c:numRef>
              <c:f>'AD-AP_synth (2)'!$D$17:$D$22</c:f>
              <c:numCache>
                <c:formatCode>0%</c:formatCode>
                <c:ptCount val="6"/>
                <c:pt idx="0">
                  <c:v>0.56000000000000005</c:v>
                </c:pt>
                <c:pt idx="1">
                  <c:v>0.57999999999999996</c:v>
                </c:pt>
                <c:pt idx="2">
                  <c:v>0.56999999999999995</c:v>
                </c:pt>
                <c:pt idx="3">
                  <c:v>0.46</c:v>
                </c:pt>
                <c:pt idx="4">
                  <c:v>0.45</c:v>
                </c:pt>
                <c:pt idx="5">
                  <c:v>0.45</c:v>
                </c:pt>
              </c:numCache>
            </c:numRef>
          </c:val>
          <c:extLst>
            <c:ext xmlns:c16="http://schemas.microsoft.com/office/drawing/2014/chart" uri="{C3380CC4-5D6E-409C-BE32-E72D297353CC}">
              <c16:uniqueId val="{00000001-E2E9-486E-8995-4528A879E16B}"/>
            </c:ext>
          </c:extLst>
        </c:ser>
        <c:dLbls>
          <c:showLegendKey val="0"/>
          <c:showVal val="0"/>
          <c:showCatName val="0"/>
          <c:showSerName val="0"/>
          <c:showPercent val="0"/>
          <c:showBubbleSize val="0"/>
        </c:dLbls>
        <c:gapWidth val="219"/>
        <c:axId val="783301072"/>
        <c:axId val="783301400"/>
      </c:barChart>
      <c:catAx>
        <c:axId val="78330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01400"/>
        <c:crosses val="autoZero"/>
        <c:auto val="1"/>
        <c:lblAlgn val="ctr"/>
        <c:lblOffset val="100"/>
        <c:noMultiLvlLbl val="0"/>
      </c:catAx>
      <c:valAx>
        <c:axId val="783301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0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'AD-AP_synth (2)'!$C$25</c:f>
              <c:strCache>
                <c:ptCount val="1"/>
                <c:pt idx="0">
                  <c:v>Bruxelles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'AD-AP_synth (2)'!$A$26:$B$31</c:f>
              <c:multiLvlStrCache>
                <c:ptCount val="6"/>
                <c:lvl>
                  <c:pt idx="0">
                    <c:v>2013</c:v>
                  </c:pt>
                  <c:pt idx="1">
                    <c:v>2019</c:v>
                  </c:pt>
                  <c:pt idx="2">
                    <c:v>2020</c:v>
                  </c:pt>
                  <c:pt idx="3">
                    <c:v>2013</c:v>
                  </c:pt>
                  <c:pt idx="4">
                    <c:v>2019</c:v>
                  </c:pt>
                  <c:pt idx="5">
                    <c:v>2020</c:v>
                  </c:pt>
                </c:lvl>
                <c:lvl>
                  <c:pt idx="0">
                    <c:v>Au moins 1 conditionnement/comprimé</c:v>
                  </c:pt>
                  <c:pt idx="3">
                    <c:v>Au moins 90 jours dans le courant de l'année</c:v>
                  </c:pt>
                </c:lvl>
              </c:multiLvlStrCache>
            </c:multiLvlStrRef>
          </c:cat>
          <c:val>
            <c:numRef>
              <c:f>'AD-AP_synth (2)'!$C$26:$C$31</c:f>
              <c:numCache>
                <c:formatCode>0%</c:formatCode>
                <c:ptCount val="6"/>
                <c:pt idx="0">
                  <c:v>0.35</c:v>
                </c:pt>
                <c:pt idx="1">
                  <c:v>0.3</c:v>
                </c:pt>
                <c:pt idx="2">
                  <c:v>0.28999999999999998</c:v>
                </c:pt>
                <c:pt idx="3">
                  <c:v>0.13</c:v>
                </c:pt>
                <c:pt idx="4">
                  <c:v>0.11</c:v>
                </c:pt>
                <c:pt idx="5">
                  <c:v>0.11</c:v>
                </c:pt>
              </c:numCache>
            </c:numRef>
          </c:val>
          <c:extLst>
            <c:ext xmlns:c16="http://schemas.microsoft.com/office/drawing/2014/chart" uri="{C3380CC4-5D6E-409C-BE32-E72D297353CC}">
              <c16:uniqueId val="{00000000-A34C-4D23-B9B3-75A818EB08BF}"/>
            </c:ext>
          </c:extLst>
        </c:ser>
        <c:ser>
          <c:idx val="1"/>
          <c:order val="1"/>
          <c:tx>
            <c:strRef>
              <c:f>'AD-AP_synth (2)'!$D$25</c:f>
              <c:strCache>
                <c:ptCount val="1"/>
                <c:pt idx="0">
                  <c:v>Wallonie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'AD-AP_synth (2)'!$A$26:$B$31</c:f>
              <c:multiLvlStrCache>
                <c:ptCount val="6"/>
                <c:lvl>
                  <c:pt idx="0">
                    <c:v>2013</c:v>
                  </c:pt>
                  <c:pt idx="1">
                    <c:v>2019</c:v>
                  </c:pt>
                  <c:pt idx="2">
                    <c:v>2020</c:v>
                  </c:pt>
                  <c:pt idx="3">
                    <c:v>2013</c:v>
                  </c:pt>
                  <c:pt idx="4">
                    <c:v>2019</c:v>
                  </c:pt>
                  <c:pt idx="5">
                    <c:v>2020</c:v>
                  </c:pt>
                </c:lvl>
                <c:lvl>
                  <c:pt idx="0">
                    <c:v>Au moins 1 conditionnement/comprimé</c:v>
                  </c:pt>
                  <c:pt idx="3">
                    <c:v>Au moins 90 jours dans le courant de l'année</c:v>
                  </c:pt>
                </c:lvl>
              </c:multiLvlStrCache>
            </c:multiLvlStrRef>
          </c:cat>
          <c:val>
            <c:numRef>
              <c:f>'AD-AP_synth (2)'!$D$26:$D$31</c:f>
              <c:numCache>
                <c:formatCode>0%</c:formatCode>
                <c:ptCount val="6"/>
                <c:pt idx="0">
                  <c:v>0.37</c:v>
                </c:pt>
                <c:pt idx="1">
                  <c:v>0.34</c:v>
                </c:pt>
                <c:pt idx="2">
                  <c:v>0.34</c:v>
                </c:pt>
                <c:pt idx="3">
                  <c:v>0.13</c:v>
                </c:pt>
                <c:pt idx="4">
                  <c:v>0.1</c:v>
                </c:pt>
                <c:pt idx="5">
                  <c:v>0.1</c:v>
                </c:pt>
              </c:numCache>
            </c:numRef>
          </c:val>
          <c:extLst>
            <c:ext xmlns:c16="http://schemas.microsoft.com/office/drawing/2014/chart" uri="{C3380CC4-5D6E-409C-BE32-E72D297353CC}">
              <c16:uniqueId val="{00000001-A34C-4D23-B9B3-75A818EB08BF}"/>
            </c:ext>
          </c:extLst>
        </c:ser>
        <c:dLbls>
          <c:showLegendKey val="0"/>
          <c:showVal val="0"/>
          <c:showCatName val="0"/>
          <c:showSerName val="0"/>
          <c:showPercent val="0"/>
          <c:showBubbleSize val="0"/>
        </c:dLbls>
        <c:gapWidth val="219"/>
        <c:axId val="882411096"/>
        <c:axId val="882416344"/>
      </c:barChart>
      <c:catAx>
        <c:axId val="882411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416344"/>
        <c:crosses val="autoZero"/>
        <c:auto val="1"/>
        <c:lblAlgn val="ctr"/>
        <c:lblOffset val="100"/>
        <c:noMultiLvlLbl val="0"/>
      </c:catAx>
      <c:valAx>
        <c:axId val="882416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411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LOZ">
  <a:themeElements>
    <a:clrScheme name="MLOZ">
      <a:dk1>
        <a:sysClr val="windowText" lastClr="000000"/>
      </a:dk1>
      <a:lt1>
        <a:sysClr val="window" lastClr="FFFFFF"/>
      </a:lt1>
      <a:dk2>
        <a:srgbClr val="B6C932"/>
      </a:dk2>
      <a:lt2>
        <a:srgbClr val="5990A5"/>
      </a:lt2>
      <a:accent1>
        <a:srgbClr val="E2B000"/>
      </a:accent1>
      <a:accent2>
        <a:srgbClr val="53A47C"/>
      </a:accent2>
      <a:accent3>
        <a:srgbClr val="D77187"/>
      </a:accent3>
      <a:accent4>
        <a:srgbClr val="1C9FDB"/>
      </a:accent4>
      <a:accent5>
        <a:srgbClr val="863160"/>
      </a:accent5>
      <a:accent6>
        <a:srgbClr val="26477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LOZ" id="{C3D9ABD0-C017-450B-85F0-558DB022AC71}" vid="{069BE222-B18E-4F80-B151-CD7293CAFE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EE8-BF4E-4EBD-9A2F-492A12C9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2775</Words>
  <Characters>15820</Characters>
  <Application>Microsoft Office Word</Application>
  <DocSecurity>0</DocSecurity>
  <Lines>131</Lines>
  <Paragraphs>37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Karakaya Güngör (500)</dc:creator>
  <cp:keywords/>
  <dc:description/>
  <cp:lastModifiedBy>van de Werve Conrad (500)</cp:lastModifiedBy>
  <cp:revision>14</cp:revision>
  <dcterms:created xsi:type="dcterms:W3CDTF">2021-07-16T12:03:00Z</dcterms:created>
  <dcterms:modified xsi:type="dcterms:W3CDTF">2021-07-19T15:26:00Z</dcterms:modified>
</cp:coreProperties>
</file>