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949E" w14:textId="77777777" w:rsidR="006B71C5" w:rsidRPr="00BD7B53" w:rsidRDefault="006B71C5" w:rsidP="006B71C5">
      <w:pPr>
        <w:jc w:val="right"/>
        <w:rPr>
          <w:rFonts w:ascii="Verdana" w:hAnsi="Verdana"/>
          <w:sz w:val="18"/>
        </w:rPr>
      </w:pPr>
      <w:r w:rsidRPr="00BD7B53">
        <w:rPr>
          <w:rFonts w:ascii="Verdana" w:hAnsi="Verdana"/>
          <w:b/>
          <w:bCs/>
          <w:noProof/>
          <w:lang w:val="nl-BE" w:eastAsia="nl-BE"/>
        </w:rPr>
        <w:drawing>
          <wp:anchor distT="0" distB="0" distL="114300" distR="114300" simplePos="0" relativeHeight="251659264" behindDoc="1" locked="0" layoutInCell="1" allowOverlap="1" wp14:anchorId="7593DF50" wp14:editId="7A44C93F">
            <wp:simplePos x="0" y="0"/>
            <wp:positionH relativeFrom="column">
              <wp:posOffset>-31750</wp:posOffset>
            </wp:positionH>
            <wp:positionV relativeFrom="paragraph">
              <wp:posOffset>-107950</wp:posOffset>
            </wp:positionV>
            <wp:extent cx="2019300" cy="1150620"/>
            <wp:effectExtent l="0" t="0" r="0" b="0"/>
            <wp:wrapThrough wrapText="bothSides">
              <wp:wrapPolygon edited="0">
                <wp:start x="0" y="0"/>
                <wp:lineTo x="0" y="21099"/>
                <wp:lineTo x="21396" y="21099"/>
                <wp:lineTo x="21396" y="0"/>
                <wp:lineTo x="0" y="0"/>
              </wp:wrapPolygon>
            </wp:wrapThrough>
            <wp:docPr id="2" name="Afbeelding 2" descr="C:\Users\m203mmor\AppData\Local\Temp\Temp4_Afgeronde versie.zip\Afgeronde versie\logo VNZ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203mmor\AppData\Local\Temp\Temp4_Afgeronde versie.zip\Afgeronde versie\logo VNZ_Z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DE75E" w14:textId="4C3BE657" w:rsidR="00686568" w:rsidRDefault="00686568" w:rsidP="006B71C5">
      <w:pPr>
        <w:tabs>
          <w:tab w:val="left" w:pos="142"/>
        </w:tabs>
        <w:jc w:val="right"/>
        <w:rPr>
          <w:rFonts w:ascii="Verdana" w:hAnsi="Verdana"/>
          <w:b/>
          <w:bCs/>
          <w:i/>
          <w:iCs/>
          <w:sz w:val="32"/>
          <w:szCs w:val="32"/>
        </w:rPr>
      </w:pPr>
      <w:r>
        <w:rPr>
          <w:rFonts w:ascii="Verdana" w:hAnsi="Verdana"/>
          <w:b/>
          <w:bCs/>
          <w:i/>
          <w:iCs/>
          <w:sz w:val="32"/>
          <w:szCs w:val="32"/>
        </w:rPr>
        <w:t>C</w:t>
      </w:r>
      <w:r w:rsidRPr="00686568">
        <w:rPr>
          <w:rFonts w:ascii="Verdana" w:hAnsi="Verdana"/>
          <w:b/>
          <w:bCs/>
          <w:i/>
          <w:iCs/>
          <w:sz w:val="32"/>
          <w:szCs w:val="32"/>
        </w:rPr>
        <w:t xml:space="preserve">ommuniqué de </w:t>
      </w:r>
      <w:proofErr w:type="spellStart"/>
      <w:r w:rsidRPr="00686568">
        <w:rPr>
          <w:rFonts w:ascii="Verdana" w:hAnsi="Verdana"/>
          <w:b/>
          <w:bCs/>
          <w:i/>
          <w:iCs/>
          <w:sz w:val="32"/>
          <w:szCs w:val="32"/>
        </w:rPr>
        <w:t>presse</w:t>
      </w:r>
      <w:proofErr w:type="spellEnd"/>
      <w:r w:rsidRPr="00686568">
        <w:rPr>
          <w:rFonts w:ascii="Verdana" w:hAnsi="Verdana"/>
          <w:b/>
          <w:bCs/>
          <w:i/>
          <w:iCs/>
          <w:sz w:val="32"/>
          <w:szCs w:val="32"/>
        </w:rPr>
        <w:t xml:space="preserve"> </w:t>
      </w:r>
    </w:p>
    <w:p w14:paraId="2C674F45" w14:textId="364330AA" w:rsidR="006B71C5" w:rsidRPr="00BD7B53" w:rsidRDefault="00686568" w:rsidP="006B71C5">
      <w:pPr>
        <w:tabs>
          <w:tab w:val="left" w:pos="142"/>
        </w:tabs>
        <w:jc w:val="right"/>
        <w:rPr>
          <w:rFonts w:ascii="Verdana" w:hAnsi="Verdana"/>
          <w:b/>
          <w:bCs/>
        </w:rPr>
      </w:pPr>
      <w:r>
        <w:rPr>
          <w:rFonts w:ascii="Verdana" w:hAnsi="Verdana"/>
        </w:rPr>
        <w:t>1 mars</w:t>
      </w:r>
      <w:r w:rsidR="006B71C5">
        <w:rPr>
          <w:rFonts w:ascii="Verdana" w:hAnsi="Verdana"/>
        </w:rPr>
        <w:t xml:space="preserve"> 20</w:t>
      </w:r>
      <w:r w:rsidR="006C6F7D">
        <w:rPr>
          <w:rFonts w:ascii="Verdana" w:hAnsi="Verdana"/>
        </w:rPr>
        <w:t>2</w:t>
      </w:r>
      <w:r w:rsidR="00F17B1F">
        <w:rPr>
          <w:rFonts w:ascii="Verdana" w:hAnsi="Verdana"/>
        </w:rPr>
        <w:t>3</w:t>
      </w:r>
      <w:r w:rsidR="006B71C5">
        <w:rPr>
          <w:rFonts w:ascii="Verdana" w:hAnsi="Verdana"/>
        </w:rPr>
        <w:t xml:space="preserve"> </w:t>
      </w:r>
      <w:r w:rsidR="006B71C5">
        <w:rPr>
          <w:rFonts w:ascii="Verdana" w:hAnsi="Verdana"/>
        </w:rPr>
        <w:br/>
      </w:r>
    </w:p>
    <w:p w14:paraId="1258D945" w14:textId="77777777" w:rsidR="006B71C5" w:rsidRPr="00BD7B53" w:rsidRDefault="006B71C5" w:rsidP="006B71C5">
      <w:pPr>
        <w:rPr>
          <w:rFonts w:ascii="Verdana" w:hAnsi="Verdana"/>
          <w:sz w:val="18"/>
        </w:rPr>
      </w:pPr>
    </w:p>
    <w:p w14:paraId="58C0BAC2" w14:textId="77777777" w:rsidR="00A55475" w:rsidRPr="008C4862" w:rsidRDefault="00A55475">
      <w:pPr>
        <w:rPr>
          <w:rFonts w:ascii="Verdana" w:hAnsi="Verdana"/>
        </w:rPr>
      </w:pPr>
    </w:p>
    <w:p w14:paraId="3EBE1BA7" w14:textId="77777777" w:rsidR="000E4956" w:rsidRPr="006B71C5" w:rsidRDefault="000E4956">
      <w:pPr>
        <w:rPr>
          <w:rFonts w:ascii="Verdana" w:hAnsi="Verdana"/>
          <w:b/>
          <w:szCs w:val="36"/>
        </w:rPr>
      </w:pPr>
    </w:p>
    <w:p w14:paraId="76FF8F39" w14:textId="77777777" w:rsidR="00686568" w:rsidRPr="00686568" w:rsidRDefault="00686568" w:rsidP="00686568">
      <w:pPr>
        <w:rPr>
          <w:rFonts w:ascii="Verdana" w:hAnsi="Verdana"/>
          <w:b/>
          <w:szCs w:val="30"/>
          <w:lang w:val="fr-FR"/>
        </w:rPr>
      </w:pPr>
      <w:r w:rsidRPr="00686568">
        <w:rPr>
          <w:rFonts w:ascii="Verdana" w:hAnsi="Verdana"/>
          <w:b/>
          <w:szCs w:val="30"/>
          <w:lang w:val="fr-FR"/>
        </w:rPr>
        <w:t>Les suppléments d'honoraires des hôpitaux varient fortement selon les régions</w:t>
      </w:r>
    </w:p>
    <w:p w14:paraId="45266F4C" w14:textId="77777777" w:rsidR="00686568" w:rsidRPr="00686568" w:rsidRDefault="00686568" w:rsidP="00686568">
      <w:pPr>
        <w:rPr>
          <w:rFonts w:ascii="Verdana" w:hAnsi="Verdana"/>
          <w:b/>
          <w:sz w:val="18"/>
          <w:szCs w:val="20"/>
          <w:lang w:val="fr-FR"/>
        </w:rPr>
      </w:pPr>
    </w:p>
    <w:p w14:paraId="6E889E88" w14:textId="0413E857" w:rsidR="00686568" w:rsidRPr="00686568" w:rsidRDefault="00686568" w:rsidP="00686568">
      <w:pPr>
        <w:rPr>
          <w:rFonts w:ascii="Verdana" w:hAnsi="Verdana"/>
          <w:b/>
          <w:sz w:val="18"/>
          <w:szCs w:val="20"/>
          <w:lang w:val="fr-FR"/>
        </w:rPr>
      </w:pPr>
      <w:r w:rsidRPr="00686568">
        <w:rPr>
          <w:rFonts w:ascii="Verdana" w:hAnsi="Verdana"/>
          <w:b/>
          <w:sz w:val="18"/>
          <w:szCs w:val="20"/>
          <w:lang w:val="fr-FR"/>
        </w:rPr>
        <w:t>Le Vlaams &amp; Neutraal Ziekenfonds (VNZ) prône la responsabilité dans le domaine des soins de santé et, chaque année, non seulement examine les différences de dépenses et de revenus entre la Flandre et la Wallonie sur la base des données d</w:t>
      </w:r>
      <w:r>
        <w:rPr>
          <w:rFonts w:ascii="Verdana" w:hAnsi="Verdana"/>
          <w:b/>
          <w:sz w:val="18"/>
          <w:szCs w:val="20"/>
          <w:lang w:val="fr-FR"/>
        </w:rPr>
        <w:t>e L’Union des Mutualités Neutres</w:t>
      </w:r>
      <w:r w:rsidRPr="00686568">
        <w:rPr>
          <w:rFonts w:ascii="Verdana" w:hAnsi="Verdana"/>
          <w:b/>
          <w:sz w:val="18"/>
          <w:szCs w:val="20"/>
          <w:lang w:val="fr-FR"/>
        </w:rPr>
        <w:t>, mais analyse également les suppléments d'honoraires maximaux dans tous les hôpitaux belges.</w:t>
      </w:r>
    </w:p>
    <w:p w14:paraId="0A36C524" w14:textId="77777777" w:rsidR="00686568" w:rsidRPr="00686568" w:rsidRDefault="00686568" w:rsidP="00686568">
      <w:pPr>
        <w:rPr>
          <w:rFonts w:ascii="Verdana" w:hAnsi="Verdana"/>
          <w:b/>
          <w:sz w:val="18"/>
          <w:szCs w:val="20"/>
          <w:lang w:val="fr-FR"/>
        </w:rPr>
      </w:pPr>
    </w:p>
    <w:p w14:paraId="7235A1C2" w14:textId="77777777" w:rsidR="00686568" w:rsidRPr="00686568" w:rsidRDefault="00686568" w:rsidP="00686568">
      <w:pPr>
        <w:rPr>
          <w:rFonts w:ascii="Verdana" w:hAnsi="Verdana"/>
          <w:bCs/>
          <w:sz w:val="18"/>
          <w:szCs w:val="20"/>
          <w:lang w:val="fr-FR"/>
        </w:rPr>
      </w:pPr>
      <w:r w:rsidRPr="00686568">
        <w:rPr>
          <w:rFonts w:ascii="Verdana" w:hAnsi="Verdana"/>
          <w:bCs/>
          <w:sz w:val="18"/>
          <w:szCs w:val="20"/>
          <w:lang w:val="fr-FR"/>
        </w:rPr>
        <w:t xml:space="preserve">Lorsqu'un patient choisit volontairement d'être admis dans une chambre individuelle, les médecins, tant les chirurgiens que les anesthésistes, sont autorisés à facturer un supplément d'honoraires en plus du tarif </w:t>
      </w:r>
      <w:proofErr w:type="spellStart"/>
      <w:r w:rsidRPr="00686568">
        <w:rPr>
          <w:rFonts w:ascii="Verdana" w:hAnsi="Verdana"/>
          <w:bCs/>
          <w:sz w:val="18"/>
          <w:szCs w:val="20"/>
          <w:lang w:val="fr-FR"/>
        </w:rPr>
        <w:t>Riziv</w:t>
      </w:r>
      <w:proofErr w:type="spellEnd"/>
      <w:r w:rsidRPr="00686568">
        <w:rPr>
          <w:rFonts w:ascii="Verdana" w:hAnsi="Verdana"/>
          <w:bCs/>
          <w:sz w:val="18"/>
          <w:szCs w:val="20"/>
          <w:lang w:val="fr-FR"/>
        </w:rPr>
        <w:t xml:space="preserve"> établi. L'époque où l'on se limitait au double (100%) dans ce cas est désormais révolue.  </w:t>
      </w:r>
    </w:p>
    <w:p w14:paraId="0E8B8BB6" w14:textId="77777777" w:rsidR="00686568" w:rsidRPr="00686568" w:rsidRDefault="00686568" w:rsidP="00686568">
      <w:pPr>
        <w:rPr>
          <w:rFonts w:ascii="Verdana" w:hAnsi="Verdana"/>
          <w:bCs/>
          <w:sz w:val="18"/>
          <w:szCs w:val="20"/>
          <w:lang w:val="fr-FR"/>
        </w:rPr>
      </w:pPr>
    </w:p>
    <w:p w14:paraId="1A7B7EE4" w14:textId="77777777" w:rsidR="00686568" w:rsidRPr="00686568" w:rsidRDefault="00686568" w:rsidP="00686568">
      <w:pPr>
        <w:rPr>
          <w:rFonts w:ascii="Verdana" w:hAnsi="Verdana"/>
          <w:b/>
          <w:sz w:val="18"/>
          <w:szCs w:val="20"/>
          <w:lang w:val="fr-FR"/>
        </w:rPr>
      </w:pPr>
      <w:r w:rsidRPr="00686568">
        <w:rPr>
          <w:rFonts w:ascii="Verdana" w:hAnsi="Verdana"/>
          <w:b/>
          <w:sz w:val="18"/>
          <w:szCs w:val="20"/>
          <w:lang w:val="fr-FR"/>
        </w:rPr>
        <w:t>Le supplément d'honoraires maximal moyen en 2023 est désormais de 185 %. En Flandre, il se situe juste au-dessus de 150% ; en Wallonie - et certainement à Bruxelles - bien au-dessus de 200% !</w:t>
      </w:r>
    </w:p>
    <w:p w14:paraId="0EBFA608" w14:textId="77777777" w:rsidR="00686568" w:rsidRPr="00686568" w:rsidRDefault="00686568" w:rsidP="00686568">
      <w:pPr>
        <w:rPr>
          <w:rFonts w:ascii="Verdana" w:hAnsi="Verdana"/>
          <w:bCs/>
          <w:sz w:val="18"/>
          <w:szCs w:val="20"/>
          <w:lang w:val="fr-FR"/>
        </w:rPr>
      </w:pPr>
    </w:p>
    <w:p w14:paraId="69513308" w14:textId="77777777" w:rsidR="00686568" w:rsidRPr="00686568" w:rsidRDefault="00686568" w:rsidP="00686568">
      <w:pPr>
        <w:rPr>
          <w:rFonts w:ascii="Verdana" w:hAnsi="Verdana"/>
          <w:bCs/>
          <w:sz w:val="18"/>
          <w:szCs w:val="20"/>
          <w:lang w:val="fr-FR"/>
        </w:rPr>
      </w:pPr>
      <w:r w:rsidRPr="00686568">
        <w:rPr>
          <w:rFonts w:ascii="Verdana" w:hAnsi="Verdana"/>
          <w:bCs/>
          <w:sz w:val="18"/>
          <w:szCs w:val="20"/>
          <w:lang w:val="fr-FR"/>
        </w:rPr>
        <w:t>On savait depuis longtemps que le coût d'une admission dans une chambre individuelle était plus élevé à Bruxelles qu'à Knokke, par exemple. En 2023, il est particulièrement frappant de constater que 5 hôpitaux de Flandre occidentale ont augmenté leur supplément d'honoraires relativement faible pour le rapprocher de la moyenne flamande.</w:t>
      </w:r>
    </w:p>
    <w:p w14:paraId="6B1FA799" w14:textId="77777777" w:rsidR="00686568" w:rsidRPr="00686568" w:rsidRDefault="00686568" w:rsidP="00686568">
      <w:pPr>
        <w:rPr>
          <w:rFonts w:ascii="Verdana" w:hAnsi="Verdana"/>
          <w:bCs/>
          <w:sz w:val="18"/>
          <w:szCs w:val="20"/>
          <w:lang w:val="fr-FR"/>
        </w:rPr>
      </w:pPr>
    </w:p>
    <w:p w14:paraId="386D95CA" w14:textId="77777777" w:rsidR="00686568" w:rsidRPr="00686568" w:rsidRDefault="00686568" w:rsidP="00686568">
      <w:pPr>
        <w:rPr>
          <w:rFonts w:ascii="Verdana" w:hAnsi="Verdana"/>
          <w:bCs/>
          <w:sz w:val="18"/>
          <w:szCs w:val="20"/>
          <w:lang w:val="fr-FR"/>
        </w:rPr>
      </w:pPr>
      <w:r w:rsidRPr="00686568">
        <w:rPr>
          <w:rFonts w:ascii="Verdana" w:hAnsi="Verdana"/>
          <w:bCs/>
          <w:sz w:val="18"/>
          <w:szCs w:val="20"/>
          <w:lang w:val="fr-FR"/>
        </w:rPr>
        <w:t>Le fait que les suppléments d'honoraires puissent être jusqu'à trois fois plus élevés n'est pas exactement explicable de manière objective.</w:t>
      </w:r>
    </w:p>
    <w:p w14:paraId="5F182DF0" w14:textId="77777777" w:rsidR="00686568" w:rsidRPr="00686568" w:rsidRDefault="00686568" w:rsidP="00686568">
      <w:pPr>
        <w:rPr>
          <w:rFonts w:ascii="Verdana" w:hAnsi="Verdana"/>
          <w:bCs/>
          <w:sz w:val="18"/>
          <w:szCs w:val="20"/>
          <w:lang w:val="fr-FR"/>
        </w:rPr>
      </w:pPr>
    </w:p>
    <w:p w14:paraId="3DA73BEF" w14:textId="77777777" w:rsidR="00686568" w:rsidRPr="00686568" w:rsidRDefault="00686568" w:rsidP="00686568">
      <w:pPr>
        <w:rPr>
          <w:rFonts w:ascii="Verdana" w:hAnsi="Verdana"/>
          <w:b/>
          <w:sz w:val="18"/>
          <w:szCs w:val="20"/>
          <w:lang w:val="fr-FR"/>
        </w:rPr>
      </w:pPr>
      <w:r w:rsidRPr="00686568">
        <w:rPr>
          <w:rFonts w:ascii="Verdana" w:hAnsi="Verdana"/>
          <w:b/>
          <w:sz w:val="18"/>
          <w:szCs w:val="20"/>
          <w:lang w:val="fr-FR"/>
        </w:rPr>
        <w:t>Sur la base de l'analyse de tous les suppléments d'honoraires maximaux pouvant être réclamés par hôpital, nous obtenons les chiffres suivants par région pour 2023 :</w:t>
      </w:r>
    </w:p>
    <w:p w14:paraId="34C1399A" w14:textId="77777777" w:rsidR="00686568" w:rsidRPr="00686568" w:rsidRDefault="00686568" w:rsidP="00686568">
      <w:pPr>
        <w:rPr>
          <w:rFonts w:ascii="Verdana" w:hAnsi="Verdana"/>
          <w:b/>
          <w:sz w:val="18"/>
          <w:szCs w:val="20"/>
          <w:lang w:val="fr-FR"/>
        </w:rPr>
      </w:pPr>
    </w:p>
    <w:tbl>
      <w:tblPr>
        <w:tblW w:w="7000" w:type="dxa"/>
        <w:tblInd w:w="60" w:type="dxa"/>
        <w:tblCellMar>
          <w:left w:w="70" w:type="dxa"/>
          <w:right w:w="70" w:type="dxa"/>
        </w:tblCellMar>
        <w:tblLook w:val="04A0" w:firstRow="1" w:lastRow="0" w:firstColumn="1" w:lastColumn="0" w:noHBand="0" w:noVBand="1"/>
      </w:tblPr>
      <w:tblGrid>
        <w:gridCol w:w="4928"/>
        <w:gridCol w:w="2072"/>
      </w:tblGrid>
      <w:tr w:rsidR="009D64D3" w:rsidRPr="00686568" w14:paraId="59D14426" w14:textId="77777777" w:rsidTr="004E56A0">
        <w:trPr>
          <w:trHeight w:val="300"/>
        </w:trPr>
        <w:tc>
          <w:tcPr>
            <w:tcW w:w="70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31B3F3" w14:textId="0497CB3D" w:rsidR="009D64D3" w:rsidRPr="00686568" w:rsidRDefault="00686568" w:rsidP="00144F1B">
            <w:pPr>
              <w:jc w:val="center"/>
              <w:rPr>
                <w:rFonts w:ascii="Verdana" w:eastAsia="Times New Roman" w:hAnsi="Verdana" w:cs="Times New Roman"/>
                <w:b/>
                <w:bCs/>
                <w:color w:val="000000"/>
                <w:sz w:val="18"/>
                <w:szCs w:val="18"/>
                <w:lang w:val="fr-FR" w:eastAsia="nl-BE"/>
              </w:rPr>
            </w:pPr>
            <w:r w:rsidRPr="00686568">
              <w:rPr>
                <w:rFonts w:ascii="Verdana" w:eastAsia="Times New Roman" w:hAnsi="Verdana" w:cs="Times New Roman"/>
                <w:b/>
                <w:bCs/>
                <w:color w:val="000000"/>
                <w:sz w:val="18"/>
                <w:szCs w:val="18"/>
                <w:lang w:val="fr-FR" w:eastAsia="nl-BE"/>
              </w:rPr>
              <w:t>Supplément d'honoraires maximum moyen en chambre individuelle (janvier 2023)</w:t>
            </w:r>
          </w:p>
        </w:tc>
      </w:tr>
      <w:tr w:rsidR="009D64D3" w:rsidRPr="00203038" w14:paraId="7764FCC2" w14:textId="77777777" w:rsidTr="009D64D3">
        <w:trPr>
          <w:trHeight w:val="285"/>
        </w:trPr>
        <w:tc>
          <w:tcPr>
            <w:tcW w:w="4928" w:type="dxa"/>
            <w:tcBorders>
              <w:top w:val="nil"/>
              <w:left w:val="single" w:sz="8" w:space="0" w:color="auto"/>
              <w:bottom w:val="nil"/>
              <w:right w:val="nil"/>
            </w:tcBorders>
            <w:shd w:val="clear" w:color="auto" w:fill="auto"/>
            <w:noWrap/>
            <w:vAlign w:val="center"/>
            <w:hideMark/>
          </w:tcPr>
          <w:p w14:paraId="4C30529A" w14:textId="4C561444" w:rsidR="009D64D3" w:rsidRPr="00203038" w:rsidRDefault="00686568" w:rsidP="00144F1B">
            <w:pPr>
              <w:jc w:val="center"/>
              <w:rPr>
                <w:rFonts w:ascii="Verdana" w:eastAsia="Times New Roman" w:hAnsi="Verdana" w:cs="Times New Roman"/>
                <w:b/>
                <w:bCs/>
                <w:color w:val="000000"/>
                <w:sz w:val="18"/>
                <w:szCs w:val="18"/>
                <w:lang w:val="nl-BE" w:eastAsia="nl-BE"/>
              </w:rPr>
            </w:pPr>
            <w:proofErr w:type="spellStart"/>
            <w:r>
              <w:rPr>
                <w:rFonts w:ascii="Verdana" w:eastAsia="Times New Roman" w:hAnsi="Verdana" w:cs="Arial"/>
                <w:b/>
                <w:bCs/>
                <w:color w:val="000000"/>
                <w:sz w:val="18"/>
                <w:szCs w:val="18"/>
                <w:lang w:eastAsia="nl-BE"/>
              </w:rPr>
              <w:t>Flandres</w:t>
            </w:r>
            <w:proofErr w:type="spellEnd"/>
          </w:p>
        </w:tc>
        <w:tc>
          <w:tcPr>
            <w:tcW w:w="2072" w:type="dxa"/>
            <w:tcBorders>
              <w:top w:val="nil"/>
              <w:left w:val="nil"/>
              <w:bottom w:val="nil"/>
              <w:right w:val="single" w:sz="4" w:space="0" w:color="auto"/>
            </w:tcBorders>
            <w:shd w:val="clear" w:color="auto" w:fill="auto"/>
            <w:noWrap/>
            <w:vAlign w:val="center"/>
            <w:hideMark/>
          </w:tcPr>
          <w:p w14:paraId="74DDADE4" w14:textId="68A4FCB5" w:rsidR="009D64D3" w:rsidRPr="00203038" w:rsidRDefault="00A20B6E" w:rsidP="008E1754">
            <w:pPr>
              <w:jc w:val="center"/>
              <w:rPr>
                <w:rFonts w:ascii="Verdana" w:eastAsia="Times New Roman" w:hAnsi="Verdana" w:cs="Times New Roman"/>
                <w:b/>
                <w:bCs/>
                <w:color w:val="000000"/>
                <w:sz w:val="18"/>
                <w:szCs w:val="18"/>
                <w:lang w:val="nl-BE" w:eastAsia="nl-BE"/>
              </w:rPr>
            </w:pPr>
            <w:r>
              <w:rPr>
                <w:rFonts w:ascii="Verdana" w:eastAsia="Times New Roman" w:hAnsi="Verdana" w:cs="Arial"/>
                <w:b/>
                <w:bCs/>
                <w:color w:val="000000"/>
                <w:sz w:val="18"/>
                <w:szCs w:val="18"/>
                <w:lang w:eastAsia="nl-BE"/>
              </w:rPr>
              <w:t>15</w:t>
            </w:r>
            <w:r w:rsidR="00F17B1F">
              <w:rPr>
                <w:rFonts w:ascii="Verdana" w:eastAsia="Times New Roman" w:hAnsi="Verdana" w:cs="Arial"/>
                <w:b/>
                <w:bCs/>
                <w:color w:val="000000"/>
                <w:sz w:val="18"/>
                <w:szCs w:val="18"/>
                <w:lang w:eastAsia="nl-BE"/>
              </w:rPr>
              <w:t>3</w:t>
            </w:r>
            <w:r w:rsidR="00144F1B">
              <w:rPr>
                <w:rFonts w:ascii="Verdana" w:eastAsia="Times New Roman" w:hAnsi="Verdana" w:cs="Arial"/>
                <w:b/>
                <w:bCs/>
                <w:color w:val="000000"/>
                <w:sz w:val="18"/>
                <w:szCs w:val="18"/>
                <w:lang w:eastAsia="nl-BE"/>
              </w:rPr>
              <w:t xml:space="preserve"> </w:t>
            </w:r>
            <w:r w:rsidR="009D64D3" w:rsidRPr="00203038">
              <w:rPr>
                <w:rFonts w:ascii="Verdana" w:eastAsia="Times New Roman" w:hAnsi="Verdana" w:cs="Arial"/>
                <w:b/>
                <w:bCs/>
                <w:color w:val="000000"/>
                <w:sz w:val="18"/>
                <w:szCs w:val="18"/>
                <w:lang w:eastAsia="nl-BE"/>
              </w:rPr>
              <w:t>%</w:t>
            </w:r>
            <w:r w:rsidR="00144F1B">
              <w:rPr>
                <w:rFonts w:ascii="Verdana" w:eastAsia="Times New Roman" w:hAnsi="Verdana" w:cs="Arial"/>
                <w:b/>
                <w:bCs/>
                <w:color w:val="000000"/>
                <w:sz w:val="18"/>
                <w:szCs w:val="18"/>
                <w:lang w:eastAsia="nl-BE"/>
              </w:rPr>
              <w:t xml:space="preserve"> </w:t>
            </w:r>
          </w:p>
        </w:tc>
      </w:tr>
      <w:tr w:rsidR="009D64D3" w:rsidRPr="00203038" w14:paraId="6589DFD0" w14:textId="77777777" w:rsidTr="009D64D3">
        <w:trPr>
          <w:trHeight w:val="285"/>
        </w:trPr>
        <w:tc>
          <w:tcPr>
            <w:tcW w:w="4928" w:type="dxa"/>
            <w:tcBorders>
              <w:top w:val="nil"/>
              <w:left w:val="single" w:sz="8" w:space="0" w:color="auto"/>
              <w:bottom w:val="nil"/>
              <w:right w:val="nil"/>
            </w:tcBorders>
            <w:shd w:val="clear" w:color="auto" w:fill="auto"/>
            <w:noWrap/>
            <w:vAlign w:val="center"/>
            <w:hideMark/>
          </w:tcPr>
          <w:p w14:paraId="7841A545" w14:textId="46337DB8" w:rsidR="009D64D3" w:rsidRPr="00203038" w:rsidRDefault="009D64D3" w:rsidP="00144F1B">
            <w:pPr>
              <w:jc w:val="center"/>
              <w:rPr>
                <w:rFonts w:ascii="Verdana" w:eastAsia="Times New Roman" w:hAnsi="Verdana" w:cs="Times New Roman"/>
                <w:b/>
                <w:bCs/>
                <w:color w:val="000000"/>
                <w:sz w:val="18"/>
                <w:szCs w:val="18"/>
                <w:lang w:val="nl-BE" w:eastAsia="nl-BE"/>
              </w:rPr>
            </w:pPr>
            <w:proofErr w:type="spellStart"/>
            <w:r w:rsidRPr="00203038">
              <w:rPr>
                <w:rFonts w:ascii="Verdana" w:eastAsia="Times New Roman" w:hAnsi="Verdana" w:cs="Arial"/>
                <w:b/>
                <w:bCs/>
                <w:color w:val="000000"/>
                <w:sz w:val="18"/>
                <w:szCs w:val="18"/>
                <w:lang w:eastAsia="nl-BE"/>
              </w:rPr>
              <w:t>Walloni</w:t>
            </w:r>
            <w:r w:rsidR="00686568">
              <w:rPr>
                <w:rFonts w:ascii="Verdana" w:eastAsia="Times New Roman" w:hAnsi="Verdana" w:cs="Arial"/>
                <w:b/>
                <w:bCs/>
                <w:color w:val="000000"/>
                <w:sz w:val="18"/>
                <w:szCs w:val="18"/>
                <w:lang w:eastAsia="nl-BE"/>
              </w:rPr>
              <w:t>e</w:t>
            </w:r>
            <w:proofErr w:type="spellEnd"/>
          </w:p>
        </w:tc>
        <w:tc>
          <w:tcPr>
            <w:tcW w:w="2072" w:type="dxa"/>
            <w:tcBorders>
              <w:top w:val="nil"/>
              <w:left w:val="nil"/>
              <w:bottom w:val="nil"/>
              <w:right w:val="single" w:sz="4" w:space="0" w:color="auto"/>
            </w:tcBorders>
            <w:shd w:val="clear" w:color="auto" w:fill="auto"/>
            <w:noWrap/>
            <w:vAlign w:val="center"/>
            <w:hideMark/>
          </w:tcPr>
          <w:p w14:paraId="096E3F95" w14:textId="455A95CD" w:rsidR="009D64D3" w:rsidRPr="00203038" w:rsidRDefault="009D64D3" w:rsidP="00144F1B">
            <w:pPr>
              <w:jc w:val="center"/>
              <w:rPr>
                <w:rFonts w:ascii="Verdana" w:eastAsia="Times New Roman" w:hAnsi="Verdana" w:cs="Times New Roman"/>
                <w:b/>
                <w:bCs/>
                <w:color w:val="000000"/>
                <w:sz w:val="18"/>
                <w:szCs w:val="18"/>
                <w:lang w:val="nl-BE" w:eastAsia="nl-BE"/>
              </w:rPr>
            </w:pPr>
            <w:r w:rsidRPr="00203038">
              <w:rPr>
                <w:rFonts w:ascii="Verdana" w:eastAsia="Times New Roman" w:hAnsi="Verdana" w:cs="Arial"/>
                <w:b/>
                <w:bCs/>
                <w:color w:val="000000"/>
                <w:sz w:val="18"/>
                <w:szCs w:val="18"/>
                <w:lang w:eastAsia="nl-BE"/>
              </w:rPr>
              <w:t>2</w:t>
            </w:r>
            <w:r w:rsidR="006C6F7D">
              <w:rPr>
                <w:rFonts w:ascii="Verdana" w:eastAsia="Times New Roman" w:hAnsi="Verdana" w:cs="Arial"/>
                <w:b/>
                <w:bCs/>
                <w:color w:val="000000"/>
                <w:sz w:val="18"/>
                <w:szCs w:val="18"/>
                <w:lang w:eastAsia="nl-BE"/>
              </w:rPr>
              <w:t>1</w:t>
            </w:r>
            <w:r w:rsidR="00A20B6E">
              <w:rPr>
                <w:rFonts w:ascii="Verdana" w:eastAsia="Times New Roman" w:hAnsi="Verdana" w:cs="Arial"/>
                <w:b/>
                <w:bCs/>
                <w:color w:val="000000"/>
                <w:sz w:val="18"/>
                <w:szCs w:val="18"/>
                <w:lang w:eastAsia="nl-BE"/>
              </w:rPr>
              <w:t>2</w:t>
            </w:r>
            <w:r w:rsidR="00144F1B">
              <w:rPr>
                <w:rFonts w:ascii="Verdana" w:eastAsia="Times New Roman" w:hAnsi="Verdana" w:cs="Arial"/>
                <w:b/>
                <w:bCs/>
                <w:color w:val="000000"/>
                <w:sz w:val="18"/>
                <w:szCs w:val="18"/>
                <w:lang w:eastAsia="nl-BE"/>
              </w:rPr>
              <w:t xml:space="preserve"> </w:t>
            </w:r>
            <w:r w:rsidRPr="00203038">
              <w:rPr>
                <w:rFonts w:ascii="Verdana" w:eastAsia="Times New Roman" w:hAnsi="Verdana" w:cs="Arial"/>
                <w:b/>
                <w:bCs/>
                <w:color w:val="000000"/>
                <w:sz w:val="18"/>
                <w:szCs w:val="18"/>
                <w:lang w:eastAsia="nl-BE"/>
              </w:rPr>
              <w:t>%</w:t>
            </w:r>
          </w:p>
        </w:tc>
      </w:tr>
      <w:tr w:rsidR="009D64D3" w:rsidRPr="00203038" w14:paraId="57FBCB81" w14:textId="77777777" w:rsidTr="009D64D3">
        <w:trPr>
          <w:trHeight w:val="300"/>
        </w:trPr>
        <w:tc>
          <w:tcPr>
            <w:tcW w:w="4928" w:type="dxa"/>
            <w:tcBorders>
              <w:top w:val="nil"/>
              <w:left w:val="single" w:sz="8" w:space="0" w:color="auto"/>
              <w:bottom w:val="single" w:sz="8" w:space="0" w:color="auto"/>
              <w:right w:val="nil"/>
            </w:tcBorders>
            <w:shd w:val="clear" w:color="auto" w:fill="auto"/>
            <w:noWrap/>
            <w:vAlign w:val="center"/>
            <w:hideMark/>
          </w:tcPr>
          <w:p w14:paraId="755C209A" w14:textId="5DD90A22" w:rsidR="009D64D3" w:rsidRPr="00203038" w:rsidRDefault="009D64D3" w:rsidP="00144F1B">
            <w:pPr>
              <w:jc w:val="center"/>
              <w:rPr>
                <w:rFonts w:ascii="Verdana" w:eastAsia="Times New Roman" w:hAnsi="Verdana" w:cs="Times New Roman"/>
                <w:b/>
                <w:bCs/>
                <w:color w:val="000000"/>
                <w:sz w:val="18"/>
                <w:szCs w:val="18"/>
                <w:lang w:val="nl-BE" w:eastAsia="nl-BE"/>
              </w:rPr>
            </w:pPr>
            <w:r w:rsidRPr="00203038">
              <w:rPr>
                <w:rFonts w:ascii="Verdana" w:eastAsia="Times New Roman" w:hAnsi="Verdana" w:cs="Arial"/>
                <w:b/>
                <w:bCs/>
                <w:color w:val="000000"/>
                <w:sz w:val="18"/>
                <w:szCs w:val="18"/>
                <w:lang w:eastAsia="nl-BE"/>
              </w:rPr>
              <w:t>Bru</w:t>
            </w:r>
            <w:r w:rsidR="00686568">
              <w:rPr>
                <w:rFonts w:ascii="Verdana" w:eastAsia="Times New Roman" w:hAnsi="Verdana" w:cs="Arial"/>
                <w:b/>
                <w:bCs/>
                <w:color w:val="000000"/>
                <w:sz w:val="18"/>
                <w:szCs w:val="18"/>
                <w:lang w:eastAsia="nl-BE"/>
              </w:rPr>
              <w:t>xelles</w:t>
            </w:r>
          </w:p>
        </w:tc>
        <w:tc>
          <w:tcPr>
            <w:tcW w:w="2072" w:type="dxa"/>
            <w:tcBorders>
              <w:top w:val="nil"/>
              <w:left w:val="nil"/>
              <w:bottom w:val="single" w:sz="8" w:space="0" w:color="auto"/>
              <w:right w:val="single" w:sz="4" w:space="0" w:color="auto"/>
            </w:tcBorders>
            <w:shd w:val="clear" w:color="auto" w:fill="auto"/>
            <w:noWrap/>
            <w:vAlign w:val="center"/>
            <w:hideMark/>
          </w:tcPr>
          <w:p w14:paraId="6A5B9F51" w14:textId="0FD6E13D" w:rsidR="009D64D3" w:rsidRPr="00203038" w:rsidRDefault="009D64D3" w:rsidP="006C6F7D">
            <w:pPr>
              <w:jc w:val="center"/>
              <w:rPr>
                <w:rFonts w:ascii="Verdana" w:eastAsia="Times New Roman" w:hAnsi="Verdana" w:cs="Times New Roman"/>
                <w:b/>
                <w:bCs/>
                <w:color w:val="000000"/>
                <w:sz w:val="18"/>
                <w:szCs w:val="18"/>
                <w:lang w:val="nl-BE" w:eastAsia="nl-BE"/>
              </w:rPr>
            </w:pPr>
            <w:r w:rsidRPr="00203038">
              <w:rPr>
                <w:rFonts w:ascii="Verdana" w:eastAsia="Times New Roman" w:hAnsi="Verdana" w:cs="Arial"/>
                <w:b/>
                <w:bCs/>
                <w:color w:val="000000"/>
                <w:sz w:val="18"/>
                <w:szCs w:val="18"/>
                <w:lang w:eastAsia="nl-BE"/>
              </w:rPr>
              <w:t>2</w:t>
            </w:r>
            <w:r w:rsidR="006C6F7D">
              <w:rPr>
                <w:rFonts w:ascii="Verdana" w:eastAsia="Times New Roman" w:hAnsi="Verdana" w:cs="Arial"/>
                <w:b/>
                <w:bCs/>
                <w:color w:val="000000"/>
                <w:sz w:val="18"/>
                <w:szCs w:val="18"/>
                <w:lang w:eastAsia="nl-BE"/>
              </w:rPr>
              <w:t>7</w:t>
            </w:r>
            <w:r w:rsidRPr="00203038">
              <w:rPr>
                <w:rFonts w:ascii="Verdana" w:eastAsia="Times New Roman" w:hAnsi="Verdana" w:cs="Arial"/>
                <w:b/>
                <w:bCs/>
                <w:color w:val="000000"/>
                <w:sz w:val="18"/>
                <w:szCs w:val="18"/>
                <w:lang w:eastAsia="nl-BE"/>
              </w:rPr>
              <w:t>0</w:t>
            </w:r>
            <w:r w:rsidR="00144F1B">
              <w:rPr>
                <w:rFonts w:ascii="Verdana" w:eastAsia="Times New Roman" w:hAnsi="Verdana" w:cs="Arial"/>
                <w:b/>
                <w:bCs/>
                <w:color w:val="000000"/>
                <w:sz w:val="18"/>
                <w:szCs w:val="18"/>
                <w:lang w:eastAsia="nl-BE"/>
              </w:rPr>
              <w:t xml:space="preserve"> </w:t>
            </w:r>
            <w:r w:rsidRPr="00203038">
              <w:rPr>
                <w:rFonts w:ascii="Verdana" w:eastAsia="Times New Roman" w:hAnsi="Verdana" w:cs="Arial"/>
                <w:b/>
                <w:bCs/>
                <w:color w:val="000000"/>
                <w:sz w:val="18"/>
                <w:szCs w:val="18"/>
                <w:lang w:eastAsia="nl-BE"/>
              </w:rPr>
              <w:t>%</w:t>
            </w:r>
          </w:p>
        </w:tc>
      </w:tr>
      <w:tr w:rsidR="009D64D3" w:rsidRPr="00203038" w14:paraId="53101B6B" w14:textId="77777777" w:rsidTr="009D64D3">
        <w:trPr>
          <w:trHeight w:val="300"/>
        </w:trPr>
        <w:tc>
          <w:tcPr>
            <w:tcW w:w="4928" w:type="dxa"/>
            <w:tcBorders>
              <w:top w:val="nil"/>
              <w:left w:val="single" w:sz="8" w:space="0" w:color="auto"/>
              <w:bottom w:val="single" w:sz="8" w:space="0" w:color="auto"/>
              <w:right w:val="nil"/>
            </w:tcBorders>
            <w:shd w:val="clear" w:color="auto" w:fill="auto"/>
            <w:noWrap/>
            <w:vAlign w:val="center"/>
            <w:hideMark/>
          </w:tcPr>
          <w:p w14:paraId="71BAEEF9" w14:textId="4827554A" w:rsidR="009D64D3" w:rsidRPr="00203038" w:rsidRDefault="00686568" w:rsidP="00144F1B">
            <w:pPr>
              <w:jc w:val="center"/>
              <w:rPr>
                <w:rFonts w:ascii="Verdana" w:eastAsia="Times New Roman" w:hAnsi="Verdana" w:cs="Times New Roman"/>
                <w:b/>
                <w:bCs/>
                <w:color w:val="000000"/>
                <w:sz w:val="18"/>
                <w:szCs w:val="18"/>
                <w:lang w:val="nl-BE" w:eastAsia="nl-BE"/>
              </w:rPr>
            </w:pPr>
            <w:r>
              <w:rPr>
                <w:rFonts w:ascii="Verdana" w:eastAsia="Times New Roman" w:hAnsi="Verdana" w:cs="Arial"/>
                <w:b/>
                <w:bCs/>
                <w:color w:val="000000"/>
                <w:sz w:val="18"/>
                <w:szCs w:val="18"/>
                <w:lang w:eastAsia="nl-BE"/>
              </w:rPr>
              <w:t>Moyenne</w:t>
            </w:r>
          </w:p>
        </w:tc>
        <w:tc>
          <w:tcPr>
            <w:tcW w:w="2072" w:type="dxa"/>
            <w:tcBorders>
              <w:top w:val="nil"/>
              <w:left w:val="nil"/>
              <w:bottom w:val="single" w:sz="8" w:space="0" w:color="auto"/>
              <w:right w:val="single" w:sz="4" w:space="0" w:color="auto"/>
            </w:tcBorders>
            <w:shd w:val="clear" w:color="auto" w:fill="auto"/>
            <w:noWrap/>
            <w:vAlign w:val="center"/>
            <w:hideMark/>
          </w:tcPr>
          <w:p w14:paraId="2B6EC1DE" w14:textId="66A48251" w:rsidR="009D64D3" w:rsidRPr="00203038" w:rsidRDefault="009D64D3" w:rsidP="008E1754">
            <w:pPr>
              <w:jc w:val="center"/>
              <w:rPr>
                <w:rFonts w:ascii="Verdana" w:eastAsia="Times New Roman" w:hAnsi="Verdana" w:cs="Times New Roman"/>
                <w:b/>
                <w:bCs/>
                <w:color w:val="000000"/>
                <w:sz w:val="18"/>
                <w:szCs w:val="18"/>
                <w:lang w:val="nl-BE" w:eastAsia="nl-BE"/>
              </w:rPr>
            </w:pPr>
            <w:r w:rsidRPr="00203038">
              <w:rPr>
                <w:rFonts w:ascii="Verdana" w:eastAsia="Times New Roman" w:hAnsi="Verdana" w:cs="Arial"/>
                <w:b/>
                <w:bCs/>
                <w:color w:val="000000"/>
                <w:sz w:val="18"/>
                <w:szCs w:val="18"/>
                <w:lang w:eastAsia="nl-BE"/>
              </w:rPr>
              <w:t>1</w:t>
            </w:r>
            <w:r w:rsidR="00144F1B">
              <w:rPr>
                <w:rFonts w:ascii="Verdana" w:eastAsia="Times New Roman" w:hAnsi="Verdana" w:cs="Arial"/>
                <w:b/>
                <w:bCs/>
                <w:color w:val="000000"/>
                <w:sz w:val="18"/>
                <w:szCs w:val="18"/>
                <w:lang w:eastAsia="nl-BE"/>
              </w:rPr>
              <w:t>8</w:t>
            </w:r>
            <w:r w:rsidR="00F17B1F">
              <w:rPr>
                <w:rFonts w:ascii="Verdana" w:eastAsia="Times New Roman" w:hAnsi="Verdana" w:cs="Arial"/>
                <w:b/>
                <w:bCs/>
                <w:color w:val="000000"/>
                <w:sz w:val="18"/>
                <w:szCs w:val="18"/>
                <w:lang w:eastAsia="nl-BE"/>
              </w:rPr>
              <w:t>5</w:t>
            </w:r>
            <w:r w:rsidR="00EA2264">
              <w:rPr>
                <w:rFonts w:ascii="Verdana" w:eastAsia="Times New Roman" w:hAnsi="Verdana" w:cs="Arial"/>
                <w:b/>
                <w:bCs/>
                <w:color w:val="000000"/>
                <w:sz w:val="18"/>
                <w:szCs w:val="18"/>
                <w:lang w:eastAsia="nl-BE"/>
              </w:rPr>
              <w:t xml:space="preserve"> </w:t>
            </w:r>
            <w:r w:rsidRPr="00203038">
              <w:rPr>
                <w:rFonts w:ascii="Verdana" w:eastAsia="Times New Roman" w:hAnsi="Verdana" w:cs="Arial"/>
                <w:b/>
                <w:bCs/>
                <w:color w:val="000000"/>
                <w:sz w:val="18"/>
                <w:szCs w:val="18"/>
                <w:lang w:eastAsia="nl-BE"/>
              </w:rPr>
              <w:t>%</w:t>
            </w:r>
          </w:p>
        </w:tc>
      </w:tr>
    </w:tbl>
    <w:p w14:paraId="5461404D" w14:textId="77777777" w:rsidR="00203038" w:rsidRDefault="00203038" w:rsidP="00610F0A">
      <w:pPr>
        <w:rPr>
          <w:rFonts w:ascii="Verdana" w:hAnsi="Verdana"/>
          <w:sz w:val="18"/>
          <w:szCs w:val="20"/>
        </w:rPr>
      </w:pPr>
    </w:p>
    <w:p w14:paraId="6D1B2181" w14:textId="77777777" w:rsidR="00686568" w:rsidRPr="00686568" w:rsidRDefault="00686568" w:rsidP="00686568">
      <w:pPr>
        <w:rPr>
          <w:rFonts w:ascii="Verdana" w:hAnsi="Verdana"/>
          <w:sz w:val="18"/>
          <w:szCs w:val="20"/>
          <w:lang w:val="fr-FR"/>
        </w:rPr>
      </w:pPr>
      <w:r w:rsidRPr="00686568">
        <w:rPr>
          <w:rFonts w:ascii="Verdana" w:hAnsi="Verdana"/>
          <w:sz w:val="18"/>
          <w:szCs w:val="20"/>
          <w:lang w:val="fr-FR"/>
        </w:rPr>
        <w:t>Sur 52 hôpitaux en Flandre, seuls 3 hôpitaux appliquent encore un maximum de 100 % (Bruges, Tielt et Roulers) pour une chambre individuelle, 12 entre 120 et 135 %, 27 entre 150 et 175 et 10 hôpitaux, souvent universitaires, facturent jusqu'à 200 % de supplément !</w:t>
      </w:r>
    </w:p>
    <w:p w14:paraId="44E1355E" w14:textId="77777777" w:rsidR="00686568" w:rsidRPr="00686568" w:rsidRDefault="00686568" w:rsidP="00686568">
      <w:pPr>
        <w:rPr>
          <w:rFonts w:ascii="Verdana" w:hAnsi="Verdana"/>
          <w:sz w:val="18"/>
          <w:szCs w:val="20"/>
          <w:lang w:val="fr-FR"/>
        </w:rPr>
      </w:pPr>
    </w:p>
    <w:p w14:paraId="58AB1D19" w14:textId="0AC4FBB8" w:rsidR="00686568" w:rsidRPr="00686568" w:rsidRDefault="00686568" w:rsidP="00686568">
      <w:pPr>
        <w:rPr>
          <w:rFonts w:ascii="Verdana" w:hAnsi="Verdana"/>
          <w:b/>
          <w:bCs/>
          <w:sz w:val="18"/>
          <w:szCs w:val="20"/>
          <w:lang w:val="fr-FR"/>
        </w:rPr>
      </w:pPr>
      <w:r w:rsidRPr="00686568">
        <w:rPr>
          <w:rFonts w:ascii="Verdana" w:hAnsi="Verdana"/>
          <w:b/>
          <w:bCs/>
          <w:sz w:val="18"/>
          <w:szCs w:val="20"/>
          <w:lang w:val="fr-FR"/>
        </w:rPr>
        <w:t xml:space="preserve">En Wallonie, il y a 28 hôpitaux. Un seul hôpital facture un supplément d'honoraires de 100 % maximum et à peine un seul reste en dessous du supplément d'honoraires de 200 %. Les 26 autres établissements facturent au moins 200 %, avec trois cas extrêmes allant jusqu'à 300 %. </w:t>
      </w:r>
    </w:p>
    <w:p w14:paraId="37882046" w14:textId="77777777" w:rsidR="00686568" w:rsidRPr="00686568" w:rsidRDefault="00686568" w:rsidP="00686568">
      <w:pPr>
        <w:rPr>
          <w:rFonts w:ascii="Verdana" w:hAnsi="Verdana"/>
          <w:sz w:val="18"/>
          <w:szCs w:val="20"/>
          <w:lang w:val="fr-FR"/>
        </w:rPr>
      </w:pPr>
    </w:p>
    <w:p w14:paraId="7C4AEF3F" w14:textId="0221BB45" w:rsidR="00686568" w:rsidRPr="00686568" w:rsidRDefault="00686568" w:rsidP="00686568">
      <w:pPr>
        <w:rPr>
          <w:rFonts w:ascii="Verdana" w:hAnsi="Verdana"/>
          <w:sz w:val="18"/>
          <w:szCs w:val="20"/>
          <w:lang w:val="fr-FR"/>
        </w:rPr>
      </w:pPr>
      <w:r w:rsidRPr="00686568">
        <w:rPr>
          <w:rFonts w:ascii="Verdana" w:hAnsi="Verdana"/>
          <w:sz w:val="18"/>
          <w:szCs w:val="20"/>
          <w:lang w:val="fr-FR"/>
        </w:rPr>
        <w:t xml:space="preserve">Et cette valeur aberrante wallonne de 300 %, soit quatre fois le tarif </w:t>
      </w:r>
      <w:r>
        <w:rPr>
          <w:rFonts w:ascii="Verdana" w:hAnsi="Verdana"/>
          <w:sz w:val="18"/>
          <w:szCs w:val="20"/>
          <w:lang w:val="fr-FR"/>
        </w:rPr>
        <w:t>INAMI</w:t>
      </w:r>
      <w:r w:rsidRPr="00686568">
        <w:rPr>
          <w:rFonts w:ascii="Verdana" w:hAnsi="Verdana"/>
          <w:sz w:val="18"/>
          <w:szCs w:val="20"/>
          <w:lang w:val="fr-FR"/>
        </w:rPr>
        <w:t xml:space="preserve"> convenu, est la norme dans huit des onze établissements bruxellois.</w:t>
      </w:r>
    </w:p>
    <w:p w14:paraId="61C95193" w14:textId="77777777" w:rsidR="00686568" w:rsidRPr="00686568" w:rsidRDefault="00686568" w:rsidP="00686568">
      <w:pPr>
        <w:rPr>
          <w:rFonts w:ascii="Verdana" w:hAnsi="Verdana"/>
          <w:sz w:val="18"/>
          <w:szCs w:val="20"/>
          <w:lang w:val="fr-FR"/>
        </w:rPr>
      </w:pPr>
    </w:p>
    <w:p w14:paraId="034B60D4" w14:textId="6319EC5A" w:rsidR="00686568" w:rsidRDefault="00686568" w:rsidP="00686568">
      <w:pPr>
        <w:rPr>
          <w:rFonts w:ascii="Verdana" w:hAnsi="Verdana"/>
          <w:sz w:val="18"/>
          <w:szCs w:val="20"/>
          <w:lang w:val="fr-FR"/>
        </w:rPr>
      </w:pPr>
      <w:r w:rsidRPr="00686568">
        <w:rPr>
          <w:rFonts w:ascii="Verdana" w:hAnsi="Verdana"/>
          <w:sz w:val="18"/>
          <w:szCs w:val="20"/>
          <w:lang w:val="fr-FR"/>
        </w:rPr>
        <w:t>Le VNZ est particulièrement curieux de voir comment le gouvernement fédéral va finalement supprimer les suppléments d'honoraires et veiller à ce que les hôpitaux les plus chers ne soient pas récompensés !</w:t>
      </w:r>
    </w:p>
    <w:p w14:paraId="748D31EE" w14:textId="77777777" w:rsidR="00686568" w:rsidRPr="00686568" w:rsidRDefault="00686568" w:rsidP="00686568">
      <w:pPr>
        <w:rPr>
          <w:rFonts w:ascii="Verdana" w:hAnsi="Verdana"/>
          <w:sz w:val="18"/>
          <w:szCs w:val="20"/>
          <w:lang w:val="fr-FR"/>
        </w:rPr>
      </w:pPr>
    </w:p>
    <w:p w14:paraId="7DCE521E" w14:textId="77777777" w:rsidR="00686568" w:rsidRPr="00686568" w:rsidRDefault="00686568" w:rsidP="00686568">
      <w:pPr>
        <w:rPr>
          <w:rFonts w:ascii="Verdana" w:hAnsi="Verdana"/>
          <w:sz w:val="18"/>
          <w:szCs w:val="20"/>
          <w:lang w:val="fr-FR"/>
        </w:rPr>
      </w:pPr>
      <w:r w:rsidRPr="00686568">
        <w:rPr>
          <w:rFonts w:ascii="Verdana" w:hAnsi="Verdana"/>
          <w:sz w:val="18"/>
          <w:szCs w:val="20"/>
          <w:lang w:val="fr-FR"/>
        </w:rPr>
        <w:t>+++ Fin du communiqué de presse +++</w:t>
      </w:r>
    </w:p>
    <w:p w14:paraId="6F315670" w14:textId="77777777" w:rsidR="00686568" w:rsidRPr="00686568" w:rsidRDefault="00686568" w:rsidP="00686568">
      <w:pPr>
        <w:rPr>
          <w:rFonts w:ascii="Verdana" w:hAnsi="Verdana"/>
          <w:sz w:val="18"/>
          <w:szCs w:val="20"/>
          <w:lang w:val="fr-FR"/>
        </w:rPr>
      </w:pPr>
    </w:p>
    <w:p w14:paraId="0FD06A20" w14:textId="67C16441" w:rsidR="00A57EE2" w:rsidRPr="00684380" w:rsidRDefault="00A57EE2" w:rsidP="00A57EE2">
      <w:pPr>
        <w:jc w:val="center"/>
        <w:rPr>
          <w:rFonts w:ascii="Verdana" w:hAnsi="Verdana"/>
          <w:sz w:val="18"/>
          <w:szCs w:val="20"/>
          <w:lang w:val="de-DE"/>
        </w:rPr>
      </w:pPr>
    </w:p>
    <w:sectPr w:rsidR="00A57EE2" w:rsidRPr="00684380" w:rsidSect="009771E6">
      <w:pgSz w:w="11900" w:h="16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lvl>
    <w:lvl w:ilvl="1">
      <w:start w:val="1"/>
      <w:numFmt w:val="none"/>
      <w:pStyle w:val="Kop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pStyle w:val="Kop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4B584E"/>
    <w:multiLevelType w:val="hybridMultilevel"/>
    <w:tmpl w:val="EDB020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438985933">
    <w:abstractNumId w:val="0"/>
  </w:num>
  <w:num w:numId="2" w16cid:durableId="4330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75"/>
    <w:rsid w:val="00017E88"/>
    <w:rsid w:val="00051DA1"/>
    <w:rsid w:val="000D4FB1"/>
    <w:rsid w:val="000D75F8"/>
    <w:rsid w:val="000E4956"/>
    <w:rsid w:val="00115F19"/>
    <w:rsid w:val="00116354"/>
    <w:rsid w:val="001415B3"/>
    <w:rsid w:val="00144F1B"/>
    <w:rsid w:val="00160654"/>
    <w:rsid w:val="001D2CE8"/>
    <w:rsid w:val="001F7BFB"/>
    <w:rsid w:val="00203038"/>
    <w:rsid w:val="00232F7F"/>
    <w:rsid w:val="00262B16"/>
    <w:rsid w:val="002A107D"/>
    <w:rsid w:val="002B7974"/>
    <w:rsid w:val="003016F9"/>
    <w:rsid w:val="003335DE"/>
    <w:rsid w:val="0037369D"/>
    <w:rsid w:val="003942CD"/>
    <w:rsid w:val="00453EBF"/>
    <w:rsid w:val="00470B98"/>
    <w:rsid w:val="0047341B"/>
    <w:rsid w:val="00477E5A"/>
    <w:rsid w:val="004E56A0"/>
    <w:rsid w:val="0053142B"/>
    <w:rsid w:val="00571431"/>
    <w:rsid w:val="0058077D"/>
    <w:rsid w:val="0059041E"/>
    <w:rsid w:val="005A3341"/>
    <w:rsid w:val="005F4BBD"/>
    <w:rsid w:val="00610F0A"/>
    <w:rsid w:val="00684380"/>
    <w:rsid w:val="00686568"/>
    <w:rsid w:val="006B2830"/>
    <w:rsid w:val="006B71C5"/>
    <w:rsid w:val="006C6F7D"/>
    <w:rsid w:val="006E4910"/>
    <w:rsid w:val="006E772F"/>
    <w:rsid w:val="007063D9"/>
    <w:rsid w:val="00717C9D"/>
    <w:rsid w:val="00727FE3"/>
    <w:rsid w:val="00752BEB"/>
    <w:rsid w:val="007A0B26"/>
    <w:rsid w:val="007D319B"/>
    <w:rsid w:val="00815700"/>
    <w:rsid w:val="00845B3D"/>
    <w:rsid w:val="00860190"/>
    <w:rsid w:val="00880F6A"/>
    <w:rsid w:val="00896D54"/>
    <w:rsid w:val="008C4862"/>
    <w:rsid w:val="008E1754"/>
    <w:rsid w:val="009771E6"/>
    <w:rsid w:val="009B1774"/>
    <w:rsid w:val="009D64D3"/>
    <w:rsid w:val="00A02477"/>
    <w:rsid w:val="00A20B6E"/>
    <w:rsid w:val="00A55475"/>
    <w:rsid w:val="00A57EE2"/>
    <w:rsid w:val="00A971B6"/>
    <w:rsid w:val="00AC34C9"/>
    <w:rsid w:val="00B73A1F"/>
    <w:rsid w:val="00BA59AC"/>
    <w:rsid w:val="00BD2E71"/>
    <w:rsid w:val="00C057C9"/>
    <w:rsid w:val="00C272FD"/>
    <w:rsid w:val="00C37A8F"/>
    <w:rsid w:val="00CA4372"/>
    <w:rsid w:val="00CC0509"/>
    <w:rsid w:val="00D002A6"/>
    <w:rsid w:val="00D13F25"/>
    <w:rsid w:val="00D535C0"/>
    <w:rsid w:val="00DD7C5C"/>
    <w:rsid w:val="00DE2424"/>
    <w:rsid w:val="00DE7C98"/>
    <w:rsid w:val="00E0320D"/>
    <w:rsid w:val="00E11275"/>
    <w:rsid w:val="00E52E66"/>
    <w:rsid w:val="00E74DE8"/>
    <w:rsid w:val="00E9134E"/>
    <w:rsid w:val="00EA2264"/>
    <w:rsid w:val="00ED7E24"/>
    <w:rsid w:val="00EE5F6B"/>
    <w:rsid w:val="00F004C1"/>
    <w:rsid w:val="00F17B1F"/>
    <w:rsid w:val="00F33849"/>
    <w:rsid w:val="00FC707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CB3F71"/>
  <w15:docId w15:val="{485A7F76-9075-4757-AC07-2DAFFB6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6B71C5"/>
    <w:pPr>
      <w:keepNext/>
      <w:numPr>
        <w:numId w:val="1"/>
      </w:numPr>
      <w:suppressAutoHyphens/>
      <w:outlineLvl w:val="0"/>
    </w:pPr>
    <w:rPr>
      <w:rFonts w:ascii="Arial" w:eastAsia="Times New Roman" w:hAnsi="Arial" w:cs="Times New Roman"/>
      <w:b/>
      <w:bCs/>
      <w:i/>
      <w:iCs/>
      <w:sz w:val="32"/>
      <w:szCs w:val="20"/>
      <w:lang w:eastAsia="ar-SA"/>
    </w:rPr>
  </w:style>
  <w:style w:type="paragraph" w:styleId="Kop2">
    <w:name w:val="heading 2"/>
    <w:basedOn w:val="Standaard"/>
    <w:next w:val="Standaard"/>
    <w:link w:val="Kop2Char"/>
    <w:qFormat/>
    <w:rsid w:val="006B71C5"/>
    <w:pPr>
      <w:keepNext/>
      <w:numPr>
        <w:ilvl w:val="1"/>
        <w:numId w:val="1"/>
      </w:numPr>
      <w:suppressAutoHyphens/>
      <w:outlineLvl w:val="1"/>
    </w:pPr>
    <w:rPr>
      <w:rFonts w:ascii="Comic Sans MS" w:eastAsia="Times New Roman" w:hAnsi="Comic Sans MS" w:cs="Times New Roman"/>
      <w:sz w:val="28"/>
      <w:lang w:eastAsia="ar-SA"/>
    </w:rPr>
  </w:style>
  <w:style w:type="paragraph" w:styleId="Kop7">
    <w:name w:val="heading 7"/>
    <w:basedOn w:val="Standaard"/>
    <w:next w:val="Standaard"/>
    <w:link w:val="Kop7Char"/>
    <w:qFormat/>
    <w:rsid w:val="006B71C5"/>
    <w:pPr>
      <w:keepNext/>
      <w:numPr>
        <w:ilvl w:val="6"/>
        <w:numId w:val="1"/>
      </w:numPr>
      <w:suppressAutoHyphens/>
      <w:outlineLvl w:val="6"/>
    </w:pPr>
    <w:rPr>
      <w:rFonts w:ascii="Comic Sans MS" w:eastAsia="Times New Roman" w:hAnsi="Comic Sans MS" w:cs="Times New Roman"/>
      <w:b/>
      <w:bCs/>
      <w:lang w:val="nl-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customStyle="1" w:styleId="Kop1Char">
    <w:name w:val="Kop 1 Char"/>
    <w:basedOn w:val="Standaardalinea-lettertype"/>
    <w:link w:val="Kop1"/>
    <w:rsid w:val="006B71C5"/>
    <w:rPr>
      <w:rFonts w:ascii="Arial" w:eastAsia="Times New Roman" w:hAnsi="Arial" w:cs="Times New Roman"/>
      <w:b/>
      <w:bCs/>
      <w:i/>
      <w:iCs/>
      <w:sz w:val="32"/>
      <w:lang w:eastAsia="ar-SA"/>
    </w:rPr>
  </w:style>
  <w:style w:type="character" w:customStyle="1" w:styleId="Kop2Char">
    <w:name w:val="Kop 2 Char"/>
    <w:basedOn w:val="Standaardalinea-lettertype"/>
    <w:link w:val="Kop2"/>
    <w:rsid w:val="006B71C5"/>
    <w:rPr>
      <w:rFonts w:ascii="Comic Sans MS" w:eastAsia="Times New Roman" w:hAnsi="Comic Sans MS" w:cs="Times New Roman"/>
      <w:sz w:val="28"/>
      <w:szCs w:val="24"/>
      <w:lang w:eastAsia="ar-SA"/>
    </w:rPr>
  </w:style>
  <w:style w:type="character" w:customStyle="1" w:styleId="Kop7Char">
    <w:name w:val="Kop 7 Char"/>
    <w:basedOn w:val="Standaardalinea-lettertype"/>
    <w:link w:val="Kop7"/>
    <w:rsid w:val="006B71C5"/>
    <w:rPr>
      <w:rFonts w:ascii="Comic Sans MS" w:eastAsia="Times New Roman" w:hAnsi="Comic Sans MS" w:cs="Times New Roman"/>
      <w:b/>
      <w:bCs/>
      <w:sz w:val="24"/>
      <w:szCs w:val="24"/>
      <w:lang w:val="nl-BE" w:eastAsia="ar-SA"/>
    </w:rPr>
  </w:style>
  <w:style w:type="table" w:styleId="Tabelraster">
    <w:name w:val="Table Grid"/>
    <w:basedOn w:val="Standaardtabel"/>
    <w:uiPriority w:val="59"/>
    <w:rsid w:val="0059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041E"/>
    <w:pPr>
      <w:ind w:left="720"/>
    </w:pPr>
    <w:rPr>
      <w:rFonts w:ascii="Calibri" w:eastAsiaTheme="minorHAnsi" w:hAnsi="Calibri" w:cs="Times New Roman"/>
      <w:sz w:val="22"/>
      <w:szCs w:val="22"/>
      <w:lang w:val="nl-BE" w:eastAsia="en-US"/>
    </w:rPr>
  </w:style>
  <w:style w:type="character" w:customStyle="1" w:styleId="st1">
    <w:name w:val="st1"/>
    <w:basedOn w:val="Standaardalinea-lettertype"/>
    <w:rsid w:val="0059041E"/>
  </w:style>
  <w:style w:type="paragraph" w:styleId="Plattetekst">
    <w:name w:val="Body Text"/>
    <w:basedOn w:val="Standaard"/>
    <w:link w:val="PlattetekstChar"/>
    <w:uiPriority w:val="99"/>
    <w:rsid w:val="00DE7C98"/>
    <w:rPr>
      <w:rFonts w:ascii="Comic Sans MS" w:eastAsia="Times New Roman" w:hAnsi="Comic Sans MS" w:cs="Times New Roman"/>
      <w:sz w:val="22"/>
      <w:lang w:eastAsia="nl-NL"/>
    </w:rPr>
  </w:style>
  <w:style w:type="character" w:customStyle="1" w:styleId="PlattetekstChar">
    <w:name w:val="Platte tekst Char"/>
    <w:basedOn w:val="Standaardalinea-lettertype"/>
    <w:link w:val="Plattetekst"/>
    <w:uiPriority w:val="99"/>
    <w:rsid w:val="00DE7C98"/>
    <w:rPr>
      <w:rFonts w:ascii="Comic Sans MS" w:eastAsia="Times New Roman" w:hAnsi="Comic Sans MS" w:cs="Times New Roman"/>
      <w:sz w:val="22"/>
      <w:szCs w:val="24"/>
      <w:lang w:eastAsia="nl-NL"/>
    </w:rPr>
  </w:style>
  <w:style w:type="paragraph" w:styleId="Ballontekst">
    <w:name w:val="Balloon Text"/>
    <w:basedOn w:val="Standaard"/>
    <w:link w:val="BallontekstChar"/>
    <w:uiPriority w:val="99"/>
    <w:semiHidden/>
    <w:unhideWhenUsed/>
    <w:rsid w:val="0037369D"/>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43">
      <w:bodyDiv w:val="1"/>
      <w:marLeft w:val="0"/>
      <w:marRight w:val="0"/>
      <w:marTop w:val="0"/>
      <w:marBottom w:val="0"/>
      <w:divBdr>
        <w:top w:val="none" w:sz="0" w:space="0" w:color="auto"/>
        <w:left w:val="none" w:sz="0" w:space="0" w:color="auto"/>
        <w:bottom w:val="none" w:sz="0" w:space="0" w:color="auto"/>
        <w:right w:val="none" w:sz="0" w:space="0" w:color="auto"/>
      </w:divBdr>
    </w:div>
    <w:div w:id="697970562">
      <w:bodyDiv w:val="1"/>
      <w:marLeft w:val="0"/>
      <w:marRight w:val="0"/>
      <w:marTop w:val="0"/>
      <w:marBottom w:val="0"/>
      <w:divBdr>
        <w:top w:val="none" w:sz="0" w:space="0" w:color="auto"/>
        <w:left w:val="none" w:sz="0" w:space="0" w:color="auto"/>
        <w:bottom w:val="none" w:sz="0" w:space="0" w:color="auto"/>
        <w:right w:val="none" w:sz="0" w:space="0" w:color="auto"/>
      </w:divBdr>
    </w:div>
    <w:div w:id="842402903">
      <w:bodyDiv w:val="1"/>
      <w:marLeft w:val="0"/>
      <w:marRight w:val="0"/>
      <w:marTop w:val="0"/>
      <w:marBottom w:val="0"/>
      <w:divBdr>
        <w:top w:val="none" w:sz="0" w:space="0" w:color="auto"/>
        <w:left w:val="none" w:sz="0" w:space="0" w:color="auto"/>
        <w:bottom w:val="none" w:sz="0" w:space="0" w:color="auto"/>
        <w:right w:val="none" w:sz="0" w:space="0" w:color="auto"/>
      </w:divBdr>
    </w:div>
    <w:div w:id="1815633082">
      <w:bodyDiv w:val="1"/>
      <w:marLeft w:val="0"/>
      <w:marRight w:val="0"/>
      <w:marTop w:val="0"/>
      <w:marBottom w:val="0"/>
      <w:divBdr>
        <w:top w:val="none" w:sz="0" w:space="0" w:color="auto"/>
        <w:left w:val="none" w:sz="0" w:space="0" w:color="auto"/>
        <w:bottom w:val="none" w:sz="0" w:space="0" w:color="auto"/>
        <w:right w:val="none" w:sz="0" w:space="0" w:color="auto"/>
      </w:divBdr>
    </w:div>
    <w:div w:id="1886717306">
      <w:bodyDiv w:val="1"/>
      <w:marLeft w:val="0"/>
      <w:marRight w:val="0"/>
      <w:marTop w:val="0"/>
      <w:marBottom w:val="0"/>
      <w:divBdr>
        <w:top w:val="none" w:sz="0" w:space="0" w:color="auto"/>
        <w:left w:val="none" w:sz="0" w:space="0" w:color="auto"/>
        <w:bottom w:val="none" w:sz="0" w:space="0" w:color="auto"/>
        <w:right w:val="none" w:sz="0" w:space="0" w:color="auto"/>
      </w:divBdr>
    </w:div>
    <w:div w:id="1942492593">
      <w:bodyDiv w:val="1"/>
      <w:marLeft w:val="0"/>
      <w:marRight w:val="0"/>
      <w:marTop w:val="0"/>
      <w:marBottom w:val="0"/>
      <w:divBdr>
        <w:top w:val="none" w:sz="0" w:space="0" w:color="auto"/>
        <w:left w:val="none" w:sz="0" w:space="0" w:color="auto"/>
        <w:bottom w:val="none" w:sz="0" w:space="0" w:color="auto"/>
        <w:right w:val="none" w:sz="0" w:space="0" w:color="auto"/>
      </w:divBdr>
    </w:div>
    <w:div w:id="1985887659">
      <w:bodyDiv w:val="1"/>
      <w:marLeft w:val="0"/>
      <w:marRight w:val="0"/>
      <w:marTop w:val="0"/>
      <w:marBottom w:val="0"/>
      <w:divBdr>
        <w:top w:val="none" w:sz="0" w:space="0" w:color="auto"/>
        <w:left w:val="none" w:sz="0" w:space="0" w:color="auto"/>
        <w:bottom w:val="none" w:sz="0" w:space="0" w:color="auto"/>
        <w:right w:val="none" w:sz="0" w:space="0" w:color="auto"/>
      </w:divBdr>
    </w:div>
    <w:div w:id="2146462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12E0-8017-43C5-99AA-0544290D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VR Consulting</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Constandt Jürgen (VNZ)</cp:lastModifiedBy>
  <cp:revision>2</cp:revision>
  <cp:lastPrinted>2016-04-21T15:03:00Z</cp:lastPrinted>
  <dcterms:created xsi:type="dcterms:W3CDTF">2023-03-03T08:07:00Z</dcterms:created>
  <dcterms:modified xsi:type="dcterms:W3CDTF">2023-03-03T08:07:00Z</dcterms:modified>
</cp:coreProperties>
</file>