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A86E" w14:textId="77777777" w:rsidR="00990955" w:rsidRDefault="00990955" w:rsidP="00990955">
      <w:pPr>
        <w:rPr>
          <w:b/>
          <w:bCs/>
          <w:color w:val="990033"/>
          <w:sz w:val="28"/>
          <w:szCs w:val="28"/>
        </w:rPr>
      </w:pPr>
      <w:r>
        <w:rPr>
          <w:b/>
          <w:bCs/>
          <w:color w:val="990033"/>
          <w:sz w:val="28"/>
          <w:szCs w:val="28"/>
        </w:rPr>
        <w:t xml:space="preserve">                             </w:t>
      </w:r>
      <w:r>
        <w:rPr>
          <w:b/>
          <w:bCs/>
          <w:noProof/>
          <w:color w:val="990033"/>
          <w:sz w:val="28"/>
          <w:szCs w:val="28"/>
          <w:lang w:eastAsia="fr-BE"/>
        </w:rPr>
        <w:drawing>
          <wp:inline distT="0" distB="0" distL="0" distR="0" wp14:anchorId="29AFD0EA" wp14:editId="58EE6198">
            <wp:extent cx="3381375" cy="14718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12" cy="1482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A76F9" w14:textId="77777777" w:rsidR="00990955" w:rsidRDefault="00990955" w:rsidP="00990955">
      <w:pPr>
        <w:rPr>
          <w:b/>
          <w:bCs/>
          <w:color w:val="990033"/>
          <w:sz w:val="28"/>
          <w:szCs w:val="28"/>
        </w:rPr>
      </w:pPr>
    </w:p>
    <w:p w14:paraId="4B6327B1" w14:textId="77777777" w:rsidR="00990955" w:rsidRPr="00990955" w:rsidRDefault="00990955" w:rsidP="00990955">
      <w:pPr>
        <w:rPr>
          <w:b/>
          <w:bCs/>
          <w:color w:val="990033"/>
          <w:sz w:val="28"/>
          <w:szCs w:val="28"/>
        </w:rPr>
      </w:pPr>
      <w:r w:rsidRPr="00990955">
        <w:rPr>
          <w:b/>
          <w:bCs/>
          <w:color w:val="990033"/>
          <w:sz w:val="28"/>
          <w:szCs w:val="28"/>
        </w:rPr>
        <w:t>Lettre ouverte au monde politique concernant l’urgence de la vaccination des patients dialysés chroniques et des transplantés rénaux. </w:t>
      </w:r>
    </w:p>
    <w:p w14:paraId="35F6873F" w14:textId="77777777" w:rsidR="00990955" w:rsidRPr="00990955" w:rsidRDefault="00990955" w:rsidP="00990955">
      <w:r w:rsidRPr="00990955">
        <w:t> </w:t>
      </w:r>
    </w:p>
    <w:p w14:paraId="4DAF3C79" w14:textId="77777777" w:rsidR="00990955" w:rsidRPr="00990955" w:rsidRDefault="00433BAC" w:rsidP="00990955">
      <w:pPr>
        <w:rPr>
          <w:b/>
          <w:bCs/>
        </w:rPr>
      </w:pPr>
      <w:r>
        <w:rPr>
          <w:b/>
          <w:bCs/>
        </w:rPr>
        <w:t xml:space="preserve">Monsieur le Ministre </w:t>
      </w:r>
      <w:proofErr w:type="spellStart"/>
      <w:r>
        <w:rPr>
          <w:b/>
          <w:bCs/>
        </w:rPr>
        <w:t>Vandenbrou</w:t>
      </w:r>
      <w:r w:rsidR="00990955" w:rsidRPr="00990955">
        <w:rPr>
          <w:b/>
          <w:bCs/>
        </w:rPr>
        <w:t>cke</w:t>
      </w:r>
      <w:proofErr w:type="spellEnd"/>
      <w:r w:rsidR="00990955" w:rsidRPr="00990955">
        <w:rPr>
          <w:b/>
          <w:bCs/>
        </w:rPr>
        <w:t>,  </w:t>
      </w:r>
    </w:p>
    <w:p w14:paraId="56AFDDD3" w14:textId="77777777" w:rsidR="00990955" w:rsidRPr="00990955" w:rsidRDefault="00990955" w:rsidP="00990955">
      <w:pPr>
        <w:rPr>
          <w:b/>
          <w:bCs/>
        </w:rPr>
      </w:pPr>
      <w:r w:rsidRPr="00990955">
        <w:rPr>
          <w:b/>
          <w:bCs/>
        </w:rPr>
        <w:t xml:space="preserve">Madame le Ministre </w:t>
      </w:r>
      <w:proofErr w:type="spellStart"/>
      <w:r w:rsidRPr="00990955">
        <w:rPr>
          <w:b/>
          <w:bCs/>
        </w:rPr>
        <w:t>Morreale</w:t>
      </w:r>
      <w:proofErr w:type="spellEnd"/>
      <w:r w:rsidRPr="00990955">
        <w:rPr>
          <w:b/>
          <w:bCs/>
        </w:rPr>
        <w:t>, </w:t>
      </w:r>
    </w:p>
    <w:p w14:paraId="33DDC8C3" w14:textId="77777777" w:rsidR="00990955" w:rsidRPr="00990955" w:rsidRDefault="00990955" w:rsidP="00990955">
      <w:pPr>
        <w:rPr>
          <w:b/>
          <w:bCs/>
        </w:rPr>
      </w:pPr>
      <w:r w:rsidRPr="00990955">
        <w:rPr>
          <w:b/>
          <w:bCs/>
        </w:rPr>
        <w:t>Monsieur le Ministre Maron, </w:t>
      </w:r>
    </w:p>
    <w:p w14:paraId="5E6BA3E6" w14:textId="77777777" w:rsidR="00990955" w:rsidRPr="00990955" w:rsidRDefault="00990955" w:rsidP="00990955">
      <w:pPr>
        <w:rPr>
          <w:b/>
          <w:bCs/>
        </w:rPr>
      </w:pPr>
      <w:r w:rsidRPr="00990955">
        <w:rPr>
          <w:b/>
          <w:bCs/>
        </w:rPr>
        <w:t xml:space="preserve">Madame Carole </w:t>
      </w:r>
      <w:proofErr w:type="spellStart"/>
      <w:r w:rsidRPr="00990955">
        <w:rPr>
          <w:b/>
          <w:bCs/>
        </w:rPr>
        <w:t>Schirvel</w:t>
      </w:r>
      <w:proofErr w:type="spellEnd"/>
      <w:r w:rsidRPr="00990955">
        <w:rPr>
          <w:b/>
          <w:bCs/>
        </w:rPr>
        <w:t> </w:t>
      </w:r>
    </w:p>
    <w:p w14:paraId="627B9E32" w14:textId="77777777" w:rsidR="00990955" w:rsidRPr="00990955" w:rsidRDefault="00990955" w:rsidP="00990955">
      <w:r w:rsidRPr="00990955">
        <w:rPr>
          <w:b/>
          <w:bCs/>
        </w:rPr>
        <w:t>Monsieur le Professeur Englert</w:t>
      </w:r>
      <w:r w:rsidRPr="00990955">
        <w:t>, </w:t>
      </w:r>
    </w:p>
    <w:p w14:paraId="3B70D6BB" w14:textId="77777777" w:rsidR="00990955" w:rsidRPr="00990955" w:rsidRDefault="00990955" w:rsidP="00990955">
      <w:r w:rsidRPr="00990955">
        <w:t> </w:t>
      </w:r>
    </w:p>
    <w:p w14:paraId="72EA935B" w14:textId="77777777" w:rsidR="00990955" w:rsidRPr="00990955" w:rsidRDefault="00990955" w:rsidP="00990955">
      <w:r w:rsidRPr="00990955">
        <w:t xml:space="preserve">Par la présente, </w:t>
      </w:r>
      <w:r w:rsidRPr="00990955">
        <w:rPr>
          <w:b/>
          <w:bCs/>
        </w:rPr>
        <w:t>le groupement des néphrologues francophones de Belgique (GNFB)</w:t>
      </w:r>
      <w:r w:rsidRPr="00990955">
        <w:t xml:space="preserve"> souhaite attirer votre attention sur des patients dont on parle trop peu, à savoir les personnes dialysées chroniques et transplantées rénales.  </w:t>
      </w:r>
    </w:p>
    <w:p w14:paraId="2C23F894" w14:textId="77777777" w:rsidR="00990955" w:rsidRPr="00AD50C5" w:rsidRDefault="00990955" w:rsidP="00990955">
      <w:pPr>
        <w:rPr>
          <w:b/>
          <w:bCs/>
          <w:iCs/>
          <w:vertAlign w:val="superscript"/>
        </w:rPr>
      </w:pPr>
      <w:r w:rsidRPr="00990955">
        <w:rPr>
          <w:iCs/>
        </w:rPr>
        <w:t>En janvier 2020, la Belgique comptait </w:t>
      </w:r>
      <w:r w:rsidRPr="00990955">
        <w:rPr>
          <w:b/>
          <w:bCs/>
          <w:iCs/>
        </w:rPr>
        <w:t xml:space="preserve">8537 patients dialysés </w:t>
      </w:r>
      <w:r w:rsidRPr="00990955">
        <w:rPr>
          <w:iCs/>
        </w:rPr>
        <w:t>et </w:t>
      </w:r>
      <w:r w:rsidR="00012F7E">
        <w:rPr>
          <w:b/>
          <w:bCs/>
          <w:iCs/>
        </w:rPr>
        <w:t>6648 patients transplantés</w:t>
      </w:r>
      <w:r w:rsidRPr="00990955">
        <w:rPr>
          <w:iCs/>
        </w:rPr>
        <w:t>.</w:t>
      </w:r>
      <w:r w:rsidR="00012F7E">
        <w:rPr>
          <w:iCs/>
          <w:vertAlign w:val="superscript"/>
        </w:rPr>
        <w:t>1</w:t>
      </w:r>
      <w:r w:rsidR="00AD50C5">
        <w:rPr>
          <w:b/>
          <w:bCs/>
          <w:iCs/>
          <w:vertAlign w:val="superscript"/>
        </w:rPr>
        <w:t xml:space="preserve"> </w:t>
      </w:r>
      <w:r w:rsidRPr="00990955">
        <w:rPr>
          <w:b/>
        </w:rPr>
        <w:t>A ce jour, il n’existe aucune disposition particulière les concernant pour la vaccination</w:t>
      </w:r>
      <w:r w:rsidRPr="00990955">
        <w:t>. Or, il a été largement démontré sur les derniers mois que ces patients faisaient partie d’une catégorie à très haut risque de développer des complications sévères de l’infection à SARS-CoV-2.</w:t>
      </w:r>
    </w:p>
    <w:p w14:paraId="7B041C9B" w14:textId="77777777" w:rsidR="00990955" w:rsidRPr="00990955" w:rsidRDefault="00990955" w:rsidP="00990955">
      <w:r w:rsidRPr="00990955">
        <w:t>En effet, une étude américaine</w:t>
      </w:r>
      <w:r w:rsidR="00012F7E">
        <w:rPr>
          <w:vertAlign w:val="superscript"/>
        </w:rPr>
        <w:t>2</w:t>
      </w:r>
      <w:r w:rsidRPr="00990955">
        <w:t xml:space="preserve"> a démontré que la dialyse chronique et la transplantation rénale étaient les facteurs de risque les plus importants d’hospitalisation pour un patient infecté par le SARS-CoV-2. </w:t>
      </w:r>
      <w:r w:rsidR="00012F7E">
        <w:t>C</w:t>
      </w:r>
      <w:r w:rsidRPr="00990955">
        <w:t xml:space="preserve">e risque était </w:t>
      </w:r>
      <w:r w:rsidRPr="00990955">
        <w:rPr>
          <w:b/>
          <w:bCs/>
        </w:rPr>
        <w:t>11x supérieur</w:t>
      </w:r>
      <w:r w:rsidRPr="00990955">
        <w:t xml:space="preserve"> pour un patient dialysé et </w:t>
      </w:r>
      <w:r w:rsidRPr="00990955">
        <w:rPr>
          <w:b/>
          <w:bCs/>
        </w:rPr>
        <w:t>14x supérieur</w:t>
      </w:r>
      <w:r w:rsidRPr="00990955">
        <w:t xml:space="preserve"> pour un patient transplanté rénal, comparé à une population sans comorbidité. Cette augmentation du risque </w:t>
      </w:r>
      <w:r w:rsidR="00AD50C5">
        <w:t>était</w:t>
      </w:r>
      <w:r w:rsidRPr="00990955">
        <w:t xml:space="preserve"> bien plus importante que celle observée pour d’autres maladies sévères comme l’insuffisance cardiaque (x 3,8) ou la maladie pulmonaire chronique obstructive (x 2,54). </w:t>
      </w:r>
    </w:p>
    <w:p w14:paraId="67CA5427" w14:textId="77777777" w:rsidR="00990955" w:rsidRPr="00990955" w:rsidRDefault="00990955" w:rsidP="00990955">
      <w:r w:rsidRPr="00990955">
        <w:t xml:space="preserve">Les patient dialysés sont souvent âgés et présentent de nombreuses comorbidités (hypertension artérielle, maladie cardiovasculaire, </w:t>
      </w:r>
      <w:proofErr w:type="gramStart"/>
      <w:r w:rsidRPr="00990955">
        <w:t>diabète</w:t>
      </w:r>
      <w:r w:rsidR="00AD50C5">
        <w:t>,…</w:t>
      </w:r>
      <w:proofErr w:type="gramEnd"/>
      <w:r w:rsidRPr="00990955">
        <w:t xml:space="preserve">). </w:t>
      </w:r>
      <w:r w:rsidR="00012F7E">
        <w:t>De plus</w:t>
      </w:r>
      <w:r w:rsidRPr="00990955">
        <w:t>, il est impossible de les confiner au domicile</w:t>
      </w:r>
      <w:r w:rsidR="00012F7E">
        <w:t> ;</w:t>
      </w:r>
      <w:r w:rsidRPr="00990955">
        <w:t xml:space="preserve"> le traitem</w:t>
      </w:r>
      <w:r w:rsidR="00012F7E">
        <w:t>ent par dialyse en centre imposant</w:t>
      </w:r>
      <w:r w:rsidRPr="00990955">
        <w:t xml:space="preserve"> à ces patients de réaliser des allers-retours avec l’hôpital plusieurs fois par semaine, ce qui est en outre associé à un contact régulier avec d’autres patients lors des transports et des séances de dialyse. Les patients transplantés rénaux sont également des patients à </w:t>
      </w:r>
      <w:r w:rsidR="00012F7E">
        <w:t xml:space="preserve">haut </w:t>
      </w:r>
      <w:r w:rsidRPr="00990955">
        <w:t>risque compte tenu de leur prise journalière de médicaments immunosuppresseurs (altérant le bon fonctionnement de leur système immunitaire) et de leurs comorbidités.  </w:t>
      </w:r>
    </w:p>
    <w:p w14:paraId="580B4118" w14:textId="77777777" w:rsidR="00990955" w:rsidRPr="00990955" w:rsidRDefault="00990955" w:rsidP="00990955">
      <w:r w:rsidRPr="00012F7E">
        <w:rPr>
          <w:bCs/>
        </w:rPr>
        <w:lastRenderedPageBreak/>
        <w:t>Depuis le début de cette crise</w:t>
      </w:r>
      <w:r w:rsidRPr="00012F7E">
        <w:t>,</w:t>
      </w:r>
      <w:r w:rsidRPr="00990955">
        <w:t xml:space="preserve"> les néphrologues et leurs équipes ont fait preuve d’une grande </w:t>
      </w:r>
      <w:r w:rsidR="004B1E6C">
        <w:t>faculté d’adaptation</w:t>
      </w:r>
      <w:r w:rsidRPr="00990955">
        <w:t xml:space="preserve"> et </w:t>
      </w:r>
      <w:r w:rsidR="004B1E6C">
        <w:t xml:space="preserve">de </w:t>
      </w:r>
      <w:r w:rsidRPr="00990955">
        <w:t>créativité pour gérer au mieux la crise et protéger leurs patients : consultations téléphoniques, adaptation des horaires de dialyses pour limiter les contacts, rationalisation des transports des patients, application strictes de mesures barrières pour le personnel soignant et les patients. </w:t>
      </w:r>
    </w:p>
    <w:p w14:paraId="42CD2942" w14:textId="77777777" w:rsidR="00990955" w:rsidRPr="00AD50C5" w:rsidRDefault="00990955" w:rsidP="00990955">
      <w:r w:rsidRPr="00990955">
        <w:t xml:space="preserve">Malgré toutes ces dispositions, </w:t>
      </w:r>
      <w:r w:rsidRPr="00990955">
        <w:rPr>
          <w:b/>
        </w:rPr>
        <w:t>7.9 %</w:t>
      </w:r>
      <w:r w:rsidRPr="00990955">
        <w:t xml:space="preserve"> </w:t>
      </w:r>
      <w:r w:rsidR="00012F7E">
        <w:t xml:space="preserve">des </w:t>
      </w:r>
      <w:r w:rsidRPr="00990955">
        <w:t>pa</w:t>
      </w:r>
      <w:r w:rsidR="00012F7E">
        <w:t xml:space="preserve">tients dialysés chroniques </w:t>
      </w:r>
      <w:r w:rsidRPr="00990955">
        <w:t xml:space="preserve">en Belgique Francophone ont été infectés par le SARS-CoV-2 lors de la première vague avec une </w:t>
      </w:r>
      <w:r w:rsidRPr="004B1E6C">
        <w:rPr>
          <w:b/>
        </w:rPr>
        <w:t>mortalité</w:t>
      </w:r>
      <w:r w:rsidRPr="00990955">
        <w:t xml:space="preserve"> observée de </w:t>
      </w:r>
      <w:r w:rsidRPr="00990955">
        <w:rPr>
          <w:b/>
        </w:rPr>
        <w:t>18 %</w:t>
      </w:r>
      <w:r w:rsidRPr="00990955">
        <w:t>.</w:t>
      </w:r>
      <w:r w:rsidR="00012F7E">
        <w:rPr>
          <w:vertAlign w:val="superscript"/>
        </w:rPr>
        <w:t>3</w:t>
      </w:r>
      <w:r w:rsidRPr="00990955">
        <w:t xml:space="preserve"> </w:t>
      </w:r>
      <w:r w:rsidR="00012F7E">
        <w:t>Par ailleurs</w:t>
      </w:r>
      <w:r w:rsidRPr="00990955">
        <w:t xml:space="preserve">, une étude européenne ayant analysé les données de la première vague -et à laquelle </w:t>
      </w:r>
      <w:r w:rsidR="00012F7E">
        <w:t xml:space="preserve">de nombreux </w:t>
      </w:r>
      <w:r w:rsidRPr="00990955">
        <w:t xml:space="preserve">centres belges ont participé- a montré une </w:t>
      </w:r>
      <w:r w:rsidRPr="00012F7E">
        <w:rPr>
          <w:b/>
        </w:rPr>
        <w:t>mortalité à 28 jours</w:t>
      </w:r>
      <w:r w:rsidRPr="00990955">
        <w:t xml:space="preserve"> post-infection de </w:t>
      </w:r>
      <w:r w:rsidRPr="00012F7E">
        <w:rPr>
          <w:b/>
        </w:rPr>
        <w:t>21.3%</w:t>
      </w:r>
      <w:r w:rsidRPr="00990955">
        <w:t xml:space="preserve"> et de </w:t>
      </w:r>
      <w:r w:rsidRPr="00012F7E">
        <w:rPr>
          <w:b/>
        </w:rPr>
        <w:t xml:space="preserve">25% </w:t>
      </w:r>
      <w:r w:rsidRPr="00990955">
        <w:t>chez les patients dialysés chroniques et transplantés rénaux, respectivement</w:t>
      </w:r>
      <w:r w:rsidR="00012F7E">
        <w:t>.</w:t>
      </w:r>
      <w:r w:rsidR="00012F7E">
        <w:rPr>
          <w:vertAlign w:val="superscript"/>
        </w:rPr>
        <w:t>4</w:t>
      </w:r>
    </w:p>
    <w:p w14:paraId="53B4A643" w14:textId="77777777" w:rsidR="00990955" w:rsidRPr="00012F7E" w:rsidRDefault="00990955" w:rsidP="00990955">
      <w:pPr>
        <w:rPr>
          <w:vertAlign w:val="superscript"/>
        </w:rPr>
      </w:pPr>
      <w:r w:rsidRPr="00990955">
        <w:t xml:space="preserve">Peu de données sont actuellement disponibles concernant la deuxième vague. Néanmoins, une étude rétrospective monocentrique réalisée aux cliniques universitaires Saint-Luc à Bruxelles a montré que les transplantés rénaux hospitalisés pour COVID-19 lors de la deuxième vague avaient un </w:t>
      </w:r>
      <w:r w:rsidRPr="004B1E6C">
        <w:t>taux</w:t>
      </w:r>
      <w:r w:rsidRPr="004B1E6C">
        <w:rPr>
          <w:b/>
        </w:rPr>
        <w:t xml:space="preserve"> d’admission aux soins intensifs</w:t>
      </w:r>
      <w:r w:rsidRPr="00990955">
        <w:t xml:space="preserve"> de </w:t>
      </w:r>
      <w:r w:rsidRPr="00990955">
        <w:rPr>
          <w:b/>
        </w:rPr>
        <w:t>44%</w:t>
      </w:r>
      <w:r w:rsidRPr="00990955">
        <w:t xml:space="preserve"> et un taux de </w:t>
      </w:r>
      <w:r w:rsidRPr="004B1E6C">
        <w:rPr>
          <w:b/>
        </w:rPr>
        <w:t>mortalité</w:t>
      </w:r>
      <w:r w:rsidRPr="00990955">
        <w:t xml:space="preserve"> de </w:t>
      </w:r>
      <w:r w:rsidRPr="00990955">
        <w:rPr>
          <w:bCs/>
        </w:rPr>
        <w:t>22%</w:t>
      </w:r>
      <w:r w:rsidR="00012F7E">
        <w:t>.</w:t>
      </w:r>
      <w:r w:rsidR="00012F7E">
        <w:rPr>
          <w:vertAlign w:val="superscript"/>
        </w:rPr>
        <w:t>5</w:t>
      </w:r>
    </w:p>
    <w:p w14:paraId="545B37A6" w14:textId="77777777" w:rsidR="00990955" w:rsidRPr="0026746A" w:rsidRDefault="00990955" w:rsidP="00990955">
      <w:pPr>
        <w:rPr>
          <w:rFonts w:cstheme="minorHAnsi"/>
          <w:b/>
          <w:vertAlign w:val="superscript"/>
        </w:rPr>
      </w:pPr>
      <w:r w:rsidRPr="0026746A">
        <w:rPr>
          <w:rFonts w:cstheme="minorHAnsi"/>
          <w:b/>
          <w:bCs/>
        </w:rPr>
        <w:t xml:space="preserve">Compte tenu de ces différents éléments, il nous parait indispensable de donner à ces patients un accès </w:t>
      </w:r>
      <w:r w:rsidR="00AD50C5" w:rsidRPr="0026746A">
        <w:rPr>
          <w:rFonts w:cstheme="minorHAnsi"/>
          <w:b/>
          <w:bCs/>
        </w:rPr>
        <w:t xml:space="preserve">rapide </w:t>
      </w:r>
      <w:r w:rsidRPr="0026746A">
        <w:rPr>
          <w:rFonts w:cstheme="minorHAnsi"/>
          <w:b/>
          <w:bCs/>
        </w:rPr>
        <w:t>à la vaccination.</w:t>
      </w:r>
      <w:r w:rsidR="00AD50C5" w:rsidRPr="0026746A">
        <w:rPr>
          <w:rFonts w:cstheme="minorHAnsi"/>
          <w:b/>
          <w:bCs/>
        </w:rPr>
        <w:t xml:space="preserve"> La Société Francophone de Transplantation (SFT) et la Société Francophone de Néphrologie Dialyse et Transplantation (SFNDT) ont d’ailleurs émis un avis recommandant « fortement </w:t>
      </w:r>
      <w:r w:rsidR="00AD50C5" w:rsidRPr="0026746A">
        <w:rPr>
          <w:rFonts w:cstheme="minorHAnsi"/>
          <w:b/>
        </w:rPr>
        <w:t>de proposer au plus tôt la vaccination contre la COVID-19 aux patients transplantés d’organes solides, particulièrement exposés aux formes graves de COVID-19 ». </w:t>
      </w:r>
      <w:r w:rsidR="00AD50C5" w:rsidRPr="0026746A">
        <w:rPr>
          <w:rFonts w:cstheme="minorHAnsi"/>
          <w:b/>
          <w:vertAlign w:val="superscript"/>
        </w:rPr>
        <w:t>6</w:t>
      </w:r>
    </w:p>
    <w:p w14:paraId="4A72B6F1" w14:textId="77777777" w:rsidR="00990955" w:rsidRPr="00990955" w:rsidRDefault="00990955" w:rsidP="00990955">
      <w:r w:rsidRPr="00990955">
        <w:t>Nous vous remercions d’avance toute l’attention que vous accorderez à la présente lettre. </w:t>
      </w:r>
    </w:p>
    <w:p w14:paraId="2DE11B03" w14:textId="77777777" w:rsidR="00990955" w:rsidRPr="00990955" w:rsidRDefault="00990955" w:rsidP="00990955"/>
    <w:p w14:paraId="2FD6054D" w14:textId="7DBAA630" w:rsidR="00990955" w:rsidRPr="00990955" w:rsidRDefault="00990955" w:rsidP="00990955">
      <w:r w:rsidRPr="00990955">
        <w:t xml:space="preserve">Dr Jean-Marc Desmet.      </w:t>
      </w:r>
      <w:r w:rsidR="008A6EF9">
        <w:t xml:space="preserve">       </w:t>
      </w:r>
      <w:r w:rsidRPr="00990955">
        <w:t xml:space="preserve">Dr Arnaud </w:t>
      </w:r>
      <w:proofErr w:type="spellStart"/>
      <w:r w:rsidRPr="00990955">
        <w:t>Devresse</w:t>
      </w:r>
      <w:proofErr w:type="spellEnd"/>
      <w:r w:rsidRPr="00990955">
        <w:t>.                        Dr Thomas Baudoux</w:t>
      </w:r>
    </w:p>
    <w:p w14:paraId="40963231" w14:textId="4D336554" w:rsidR="00990955" w:rsidRDefault="00990955" w:rsidP="00990955">
      <w:r w:rsidRPr="00990955">
        <w:t xml:space="preserve">Président du GNFB.         </w:t>
      </w:r>
      <w:r w:rsidR="008A6EF9">
        <w:t xml:space="preserve">        </w:t>
      </w:r>
      <w:r w:rsidRPr="00990955">
        <w:t xml:space="preserve"> V</w:t>
      </w:r>
      <w:r w:rsidR="008A6EF9">
        <w:t>ice-Président (</w:t>
      </w:r>
      <w:proofErr w:type="gramStart"/>
      <w:r w:rsidR="008A6EF9">
        <w:t>Transplantation)</w:t>
      </w:r>
      <w:r w:rsidRPr="00990955">
        <w:t xml:space="preserve">   </w:t>
      </w:r>
      <w:proofErr w:type="gramEnd"/>
      <w:r w:rsidRPr="00990955">
        <w:t xml:space="preserve"> Vice-Président (Dialyse)</w:t>
      </w:r>
    </w:p>
    <w:p w14:paraId="5D1045C2" w14:textId="77777777" w:rsidR="00990955" w:rsidRPr="00990955" w:rsidRDefault="00990955" w:rsidP="00990955"/>
    <w:p w14:paraId="54511A03" w14:textId="3B136016" w:rsidR="00990955" w:rsidRPr="00990955" w:rsidRDefault="00990955" w:rsidP="00990955">
      <w:pPr>
        <w:rPr>
          <w:lang w:val="en-US"/>
        </w:rPr>
      </w:pPr>
      <w:r w:rsidRPr="00990955">
        <w:rPr>
          <w:lang w:val="en-US"/>
        </w:rPr>
        <w:t xml:space="preserve">Dr Catherine Bonvoisin.    </w:t>
      </w:r>
      <w:r w:rsidR="008A6EF9">
        <w:rPr>
          <w:lang w:val="en-US"/>
        </w:rPr>
        <w:t xml:space="preserve">         </w:t>
      </w:r>
      <w:proofErr w:type="spellStart"/>
      <w:r w:rsidRPr="00990955">
        <w:rPr>
          <w:lang w:val="en-US"/>
        </w:rPr>
        <w:t>Dr</w:t>
      </w:r>
      <w:proofErr w:type="spellEnd"/>
      <w:r w:rsidRPr="00990955">
        <w:rPr>
          <w:lang w:val="en-US"/>
        </w:rPr>
        <w:t xml:space="preserve"> Luc </w:t>
      </w:r>
      <w:proofErr w:type="spellStart"/>
      <w:r w:rsidRPr="00990955">
        <w:rPr>
          <w:lang w:val="en-US"/>
        </w:rPr>
        <w:t>Radermacher</w:t>
      </w:r>
      <w:proofErr w:type="spellEnd"/>
      <w:r w:rsidRPr="00990955">
        <w:rPr>
          <w:lang w:val="en-US"/>
        </w:rPr>
        <w:t>.                       Dr Joseph Mbaba</w:t>
      </w:r>
    </w:p>
    <w:p w14:paraId="465FCC91" w14:textId="7FAD3378" w:rsidR="00990955" w:rsidRPr="00990955" w:rsidRDefault="008A6EF9" w:rsidP="00990955">
      <w:r>
        <w:t xml:space="preserve">Secrétaire du GNFB                     </w:t>
      </w:r>
      <w:r w:rsidR="00990955" w:rsidRPr="00990955">
        <w:t xml:space="preserve">Trésorier </w:t>
      </w:r>
      <w:r>
        <w:t xml:space="preserve">du GNFB </w:t>
      </w:r>
      <w:r w:rsidR="00990955" w:rsidRPr="00990955">
        <w:t xml:space="preserve">                         </w:t>
      </w:r>
      <w:r>
        <w:t xml:space="preserve"> </w:t>
      </w:r>
      <w:r w:rsidR="00990955" w:rsidRPr="00990955">
        <w:t>Administrateur</w:t>
      </w:r>
      <w:r>
        <w:t xml:space="preserve"> Du GNFB</w:t>
      </w:r>
    </w:p>
    <w:p w14:paraId="6437AA98" w14:textId="77777777" w:rsidR="00990955" w:rsidRPr="00990955" w:rsidRDefault="00990955" w:rsidP="00990955"/>
    <w:p w14:paraId="469873D7" w14:textId="109B8A9B" w:rsidR="00990955" w:rsidRPr="00990955" w:rsidRDefault="008A6EF9" w:rsidP="0099095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Co-s</w:t>
      </w:r>
      <w:r w:rsidR="00990955" w:rsidRPr="00990955">
        <w:rPr>
          <w:b/>
          <w:sz w:val="28"/>
          <w:szCs w:val="28"/>
        </w:rPr>
        <w:t>ignataires</w:t>
      </w:r>
      <w:proofErr w:type="spellEnd"/>
      <w:r w:rsidR="00990955" w:rsidRPr="00990955">
        <w:rPr>
          <w:b/>
          <w:sz w:val="28"/>
          <w:szCs w:val="28"/>
        </w:rPr>
        <w:t>:</w:t>
      </w:r>
    </w:p>
    <w:p w14:paraId="4AB115BA" w14:textId="1A8302FF" w:rsidR="002C7162" w:rsidRDefault="008A6EF9" w:rsidP="00990955">
      <w:r>
        <w:t xml:space="preserve">Professeur </w:t>
      </w:r>
      <w:r w:rsidR="00991685">
        <w:t xml:space="preserve">JM </w:t>
      </w:r>
      <w:proofErr w:type="spellStart"/>
      <w:r>
        <w:t>Kr</w:t>
      </w:r>
      <w:r w:rsidR="00991685">
        <w:t>z</w:t>
      </w:r>
      <w:r>
        <w:t>e</w:t>
      </w:r>
      <w:r w:rsidR="00991685">
        <w:t>s</w:t>
      </w:r>
      <w:r>
        <w:t>inski</w:t>
      </w:r>
      <w:proofErr w:type="spellEnd"/>
      <w:r w:rsidR="002C7162">
        <w:t xml:space="preserve">                    </w:t>
      </w:r>
      <w:r w:rsidR="00DF06A6">
        <w:t xml:space="preserve">Professeur Michel </w:t>
      </w:r>
      <w:proofErr w:type="spellStart"/>
      <w:r w:rsidR="00DF06A6">
        <w:t>Jadoul</w:t>
      </w:r>
      <w:proofErr w:type="spellEnd"/>
      <w:r w:rsidR="002C7162">
        <w:t xml:space="preserve"> </w:t>
      </w:r>
      <w:r w:rsidR="00DF06A6">
        <w:t xml:space="preserve">              </w:t>
      </w:r>
      <w:r w:rsidR="0088020D">
        <w:t xml:space="preserve">Professeur Daniel </w:t>
      </w:r>
      <w:proofErr w:type="spellStart"/>
      <w:r w:rsidR="0088020D">
        <w:t>Abramowicz</w:t>
      </w:r>
      <w:proofErr w:type="spellEnd"/>
    </w:p>
    <w:p w14:paraId="66ADD376" w14:textId="3BEE8936" w:rsidR="008A6EF9" w:rsidRDefault="008A6EF9" w:rsidP="00990955">
      <w:r>
        <w:t xml:space="preserve">Chef de service CHU Liège </w:t>
      </w:r>
      <w:r w:rsidR="00DF06A6">
        <w:t xml:space="preserve">                 </w:t>
      </w:r>
      <w:r w:rsidR="002C7162" w:rsidRPr="002C7162">
        <w:t xml:space="preserve">Chef </w:t>
      </w:r>
      <w:r w:rsidR="002C7162">
        <w:t xml:space="preserve">de service </w:t>
      </w:r>
      <w:r w:rsidR="00DF06A6">
        <w:t>CHU Saint-Luc</w:t>
      </w:r>
      <w:r w:rsidR="002C7162" w:rsidRPr="002C7162">
        <w:t xml:space="preserve"> </w:t>
      </w:r>
      <w:r w:rsidR="00DF06A6">
        <w:t xml:space="preserve">      </w:t>
      </w:r>
      <w:r w:rsidR="00DF06A6" w:rsidRPr="00DF06A6">
        <w:t>Chef de service</w:t>
      </w:r>
      <w:r w:rsidR="00DF06A6">
        <w:t xml:space="preserve"> </w:t>
      </w:r>
      <w:r w:rsidR="00991685">
        <w:t>UZA Anvers</w:t>
      </w:r>
    </w:p>
    <w:p w14:paraId="4912AE37" w14:textId="6CB24666" w:rsidR="00337848" w:rsidRDefault="00337848" w:rsidP="00990955"/>
    <w:p w14:paraId="0E43AFC4" w14:textId="167CEA6F" w:rsidR="00337848" w:rsidRDefault="00337848" w:rsidP="00990955">
      <w:r>
        <w:t xml:space="preserve">Professeur Alain Lemoine                  Dr </w:t>
      </w:r>
      <w:proofErr w:type="spellStart"/>
      <w:r>
        <w:t>Jean-Marin</w:t>
      </w:r>
      <w:proofErr w:type="spellEnd"/>
      <w:r>
        <w:t xml:space="preserve"> </w:t>
      </w:r>
      <w:proofErr w:type="spellStart"/>
      <w:r>
        <w:t>Desgrottes</w:t>
      </w:r>
      <w:proofErr w:type="spellEnd"/>
      <w:r>
        <w:t xml:space="preserve">          Dr Miguel </w:t>
      </w:r>
      <w:proofErr w:type="spellStart"/>
      <w:r>
        <w:t>Guillen</w:t>
      </w:r>
      <w:proofErr w:type="spellEnd"/>
    </w:p>
    <w:p w14:paraId="20E7191E" w14:textId="30EB3922" w:rsidR="00337848" w:rsidRDefault="00337848" w:rsidP="00990955">
      <w:r>
        <w:t xml:space="preserve">Chef de service CHU Erasme             Chef de service CHU Tivoli          Chef de service Grand </w:t>
      </w:r>
      <w:proofErr w:type="spellStart"/>
      <w:r>
        <w:t>Hornu</w:t>
      </w:r>
      <w:proofErr w:type="spellEnd"/>
    </w:p>
    <w:p w14:paraId="5EBC5866" w14:textId="77777777" w:rsidR="008A6EF9" w:rsidRDefault="008A6EF9" w:rsidP="00990955"/>
    <w:p w14:paraId="756A0E28" w14:textId="6D00A768" w:rsidR="00990955" w:rsidRDefault="001A6503" w:rsidP="00990955">
      <w:r>
        <w:t>Dr Serge Treille</w:t>
      </w:r>
      <w:r w:rsidR="008E0EA0">
        <w:t xml:space="preserve">                                        Dr Frédéric </w:t>
      </w:r>
      <w:proofErr w:type="spellStart"/>
      <w:r w:rsidR="008E0EA0">
        <w:t>Coll</w:t>
      </w:r>
      <w:r w:rsidR="00DF06A6">
        <w:t>art</w:t>
      </w:r>
      <w:proofErr w:type="spellEnd"/>
      <w:r w:rsidR="00DF06A6">
        <w:t xml:space="preserve">                   </w:t>
      </w:r>
      <w:r w:rsidR="008E0EA0">
        <w:t xml:space="preserve">Dr Philippe </w:t>
      </w:r>
      <w:proofErr w:type="spellStart"/>
      <w:r w:rsidR="008E0EA0">
        <w:t>Madhoun</w:t>
      </w:r>
      <w:proofErr w:type="spellEnd"/>
    </w:p>
    <w:p w14:paraId="00AE1051" w14:textId="7C8E597D" w:rsidR="001A6503" w:rsidRDefault="001A6503" w:rsidP="00990955">
      <w:r>
        <w:t>Chef de Service du CHU Charleroi</w:t>
      </w:r>
      <w:r w:rsidR="008E0EA0">
        <w:t xml:space="preserve">        </w:t>
      </w:r>
      <w:bookmarkStart w:id="0" w:name="_GoBack"/>
      <w:bookmarkEnd w:id="0"/>
      <w:r w:rsidR="008E0EA0">
        <w:t xml:space="preserve">CHU Brugmann                        Chef de Service </w:t>
      </w:r>
      <w:proofErr w:type="spellStart"/>
      <w:r w:rsidR="008E0EA0">
        <w:t>CHwapi</w:t>
      </w:r>
      <w:proofErr w:type="spellEnd"/>
      <w:r w:rsidR="008E0EA0">
        <w:t xml:space="preserve"> (Tournai)</w:t>
      </w:r>
    </w:p>
    <w:p w14:paraId="7C0BF87B" w14:textId="7248926C" w:rsidR="008E0EA0" w:rsidRDefault="008E0EA0" w:rsidP="00990955"/>
    <w:p w14:paraId="305A32DE" w14:textId="2B1342FF" w:rsidR="00991685" w:rsidRPr="00991685" w:rsidRDefault="008E0EA0" w:rsidP="00990955">
      <w:pPr>
        <w:rPr>
          <w:lang w:val="en-US"/>
        </w:rPr>
      </w:pPr>
      <w:proofErr w:type="spellStart"/>
      <w:r w:rsidRPr="00991685">
        <w:rPr>
          <w:lang w:val="en-US"/>
        </w:rPr>
        <w:t>Dr</w:t>
      </w:r>
      <w:proofErr w:type="spellEnd"/>
      <w:r w:rsidRPr="00991685">
        <w:rPr>
          <w:lang w:val="en-US"/>
        </w:rPr>
        <w:t xml:space="preserve"> Georges Cornet                                </w:t>
      </w:r>
      <w:proofErr w:type="spellStart"/>
      <w:r w:rsidRPr="00991685">
        <w:rPr>
          <w:lang w:val="en-US"/>
        </w:rPr>
        <w:t>Dr</w:t>
      </w:r>
      <w:proofErr w:type="spellEnd"/>
      <w:r w:rsidRPr="00991685">
        <w:rPr>
          <w:lang w:val="en-US"/>
        </w:rPr>
        <w:t xml:space="preserve"> Marie</w:t>
      </w:r>
      <w:r w:rsidR="00DF06A6" w:rsidRPr="00991685">
        <w:rPr>
          <w:lang w:val="en-US"/>
        </w:rPr>
        <w:t xml:space="preserve">-Carmen Muniz       </w:t>
      </w:r>
      <w:proofErr w:type="spellStart"/>
      <w:r w:rsidR="00991685" w:rsidRPr="00991685">
        <w:rPr>
          <w:lang w:val="en-US"/>
        </w:rPr>
        <w:t>Dr</w:t>
      </w:r>
      <w:proofErr w:type="spellEnd"/>
      <w:r w:rsidR="00991685" w:rsidRPr="00991685">
        <w:rPr>
          <w:lang w:val="en-US"/>
        </w:rPr>
        <w:t xml:space="preserve"> Xavier </w:t>
      </w:r>
      <w:proofErr w:type="spellStart"/>
      <w:r w:rsidR="00991685" w:rsidRPr="00991685">
        <w:rPr>
          <w:lang w:val="en-US"/>
        </w:rPr>
        <w:t>Warling</w:t>
      </w:r>
      <w:proofErr w:type="spellEnd"/>
    </w:p>
    <w:p w14:paraId="1DDB38F0" w14:textId="5209C97D" w:rsidR="00990955" w:rsidRPr="00990955" w:rsidRDefault="008E0EA0" w:rsidP="00990955">
      <w:r>
        <w:t xml:space="preserve">Chef de service du CH Verviers           CH CHIREC                               </w:t>
      </w:r>
      <w:r w:rsidR="00991685">
        <w:t>Chef de service CHR Citadelle</w:t>
      </w:r>
    </w:p>
    <w:p w14:paraId="6F2DF8B0" w14:textId="77777777" w:rsidR="0088020D" w:rsidRDefault="0088020D" w:rsidP="00990955">
      <w:pPr>
        <w:rPr>
          <w:b/>
          <w:sz w:val="28"/>
          <w:szCs w:val="28"/>
        </w:rPr>
      </w:pPr>
    </w:p>
    <w:p w14:paraId="48F2798F" w14:textId="27EDF71E" w:rsidR="00990955" w:rsidRPr="008E0EA0" w:rsidRDefault="00990955" w:rsidP="00990955">
      <w:pPr>
        <w:rPr>
          <w:b/>
          <w:sz w:val="28"/>
          <w:szCs w:val="28"/>
        </w:rPr>
      </w:pPr>
      <w:r w:rsidRPr="00990955">
        <w:rPr>
          <w:b/>
          <w:sz w:val="28"/>
          <w:szCs w:val="28"/>
        </w:rPr>
        <w:t>Références:</w:t>
      </w:r>
    </w:p>
    <w:p w14:paraId="192E49D4" w14:textId="77777777" w:rsidR="00990955" w:rsidRPr="00990955" w:rsidRDefault="00990955" w:rsidP="00990955"/>
    <w:p w14:paraId="1FD30C8E" w14:textId="77777777" w:rsidR="0026746A" w:rsidRDefault="00990955" w:rsidP="00012F7E">
      <w:pPr>
        <w:rPr>
          <w:rFonts w:cstheme="minorHAnsi"/>
        </w:rPr>
      </w:pPr>
      <w:r w:rsidRPr="00012F7E">
        <w:rPr>
          <w:rFonts w:cstheme="minorHAnsi"/>
        </w:rPr>
        <w:t>1. Collège de néphrologie,</w:t>
      </w:r>
      <w:r w:rsidR="00012F7E" w:rsidRPr="00012F7E">
        <w:rPr>
          <w:rFonts w:cstheme="minorHAnsi"/>
        </w:rPr>
        <w:t xml:space="preserve"> </w:t>
      </w:r>
      <w:r w:rsidRPr="00012F7E">
        <w:rPr>
          <w:rFonts w:cstheme="minorHAnsi"/>
        </w:rPr>
        <w:t>rapport</w:t>
      </w:r>
      <w:r w:rsidR="00012F7E" w:rsidRPr="00012F7E">
        <w:rPr>
          <w:rFonts w:cstheme="minorHAnsi"/>
        </w:rPr>
        <w:t xml:space="preserve"> 2020</w:t>
      </w:r>
      <w:r w:rsidRPr="00012F7E">
        <w:rPr>
          <w:rFonts w:cstheme="minorHAnsi"/>
        </w:rPr>
        <w:t>.</w:t>
      </w:r>
      <w:r w:rsidR="0026746A">
        <w:rPr>
          <w:rFonts w:cstheme="minorHAnsi"/>
        </w:rPr>
        <w:t xml:space="preserve"> </w:t>
      </w:r>
      <w:r w:rsidR="0026746A" w:rsidRPr="0026746A">
        <w:rPr>
          <w:rFonts w:cstheme="minorHAnsi"/>
        </w:rPr>
        <w:t>https://organesdeconcertation.sante.belgique.be/fr/profession/nephrologue</w:t>
      </w:r>
    </w:p>
    <w:p w14:paraId="7E956273" w14:textId="77777777" w:rsidR="00012F7E" w:rsidRPr="00012F7E" w:rsidRDefault="00990955" w:rsidP="00012F7E">
      <w:pPr>
        <w:rPr>
          <w:rStyle w:val="cit"/>
          <w:rFonts w:cstheme="minorHAnsi"/>
        </w:rPr>
      </w:pPr>
      <w:r w:rsidRPr="008253E7">
        <w:rPr>
          <w:rFonts w:cstheme="minorHAnsi"/>
        </w:rPr>
        <w:t xml:space="preserve">2. </w:t>
      </w:r>
      <w:proofErr w:type="spellStart"/>
      <w:r w:rsidR="00012F7E" w:rsidRPr="00012F7E">
        <w:rPr>
          <w:rStyle w:val="authors-list-item"/>
          <w:rFonts w:cstheme="minorHAnsi"/>
        </w:rPr>
        <w:t>Oetjens</w:t>
      </w:r>
      <w:proofErr w:type="spellEnd"/>
      <w:r w:rsidR="00012F7E" w:rsidRPr="00012F7E">
        <w:rPr>
          <w:rStyle w:val="comma"/>
          <w:rFonts w:cstheme="minorHAnsi"/>
          <w:shd w:val="clear" w:color="auto" w:fill="FFFFFF"/>
        </w:rPr>
        <w:t xml:space="preserve"> </w:t>
      </w:r>
      <w:proofErr w:type="gramStart"/>
      <w:r w:rsidR="00012F7E" w:rsidRPr="00012F7E">
        <w:rPr>
          <w:rStyle w:val="comma"/>
          <w:rFonts w:cstheme="minorHAnsi"/>
          <w:shd w:val="clear" w:color="auto" w:fill="FFFFFF"/>
        </w:rPr>
        <w:t>MT, </w:t>
      </w:r>
      <w:r w:rsidR="00012F7E" w:rsidRPr="00012F7E">
        <w:rPr>
          <w:rStyle w:val="authors-list-item"/>
          <w:rFonts w:cstheme="minorHAnsi"/>
        </w:rPr>
        <w:t xml:space="preserve"> </w:t>
      </w:r>
      <w:proofErr w:type="spellStart"/>
      <w:r w:rsidR="00012F7E" w:rsidRPr="00012F7E">
        <w:rPr>
          <w:rStyle w:val="authors-list-item"/>
          <w:rFonts w:cstheme="minorHAnsi"/>
        </w:rPr>
        <w:t>Luo</w:t>
      </w:r>
      <w:proofErr w:type="spellEnd"/>
      <w:proofErr w:type="gramEnd"/>
      <w:r w:rsidR="00012F7E" w:rsidRPr="00012F7E">
        <w:rPr>
          <w:rStyle w:val="comma"/>
          <w:rFonts w:cstheme="minorHAnsi"/>
          <w:shd w:val="clear" w:color="auto" w:fill="FFFFFF"/>
        </w:rPr>
        <w:t xml:space="preserve"> JZ, </w:t>
      </w:r>
      <w:r w:rsidR="00012F7E" w:rsidRPr="00012F7E">
        <w:rPr>
          <w:rStyle w:val="authors-list-item"/>
          <w:rFonts w:cstheme="minorHAnsi"/>
        </w:rPr>
        <w:t>Chang</w:t>
      </w:r>
      <w:r w:rsidR="00012F7E" w:rsidRPr="00012F7E">
        <w:rPr>
          <w:rStyle w:val="comma"/>
          <w:rFonts w:cstheme="minorHAnsi"/>
          <w:shd w:val="clear" w:color="auto" w:fill="FFFFFF"/>
        </w:rPr>
        <w:t xml:space="preserve"> A, </w:t>
      </w:r>
      <w:r w:rsidR="00012F7E" w:rsidRPr="004B1E6C">
        <w:rPr>
          <w:rStyle w:val="comma"/>
          <w:rFonts w:cstheme="minorHAnsi"/>
          <w:i/>
          <w:shd w:val="clear" w:color="auto" w:fill="FFFFFF"/>
        </w:rPr>
        <w:t>et al</w:t>
      </w:r>
      <w:r w:rsidR="00012F7E" w:rsidRPr="00012F7E">
        <w:rPr>
          <w:rStyle w:val="comma"/>
          <w:rFonts w:cstheme="minorHAnsi"/>
          <w:shd w:val="clear" w:color="auto" w:fill="FFFFFF"/>
        </w:rPr>
        <w:t xml:space="preserve">. </w:t>
      </w:r>
      <w:r w:rsidR="00012F7E" w:rsidRPr="008253E7">
        <w:rPr>
          <w:rFonts w:cstheme="minorHAnsi"/>
          <w:lang w:val="en-US"/>
        </w:rPr>
        <w:t xml:space="preserve">Electronic health record analysis identifies kidney disease as the leading risk factor for hospitalization in confirmed COVID-19 patients. </w:t>
      </w:r>
      <w:proofErr w:type="spellStart"/>
      <w:r w:rsidR="00012F7E">
        <w:rPr>
          <w:rFonts w:cstheme="minorHAnsi"/>
          <w:i/>
        </w:rPr>
        <w:t>PLoS</w:t>
      </w:r>
      <w:proofErr w:type="spellEnd"/>
      <w:r w:rsidR="00012F7E">
        <w:rPr>
          <w:rFonts w:cstheme="minorHAnsi"/>
          <w:i/>
        </w:rPr>
        <w:t xml:space="preserve"> </w:t>
      </w:r>
      <w:r w:rsidR="00012F7E" w:rsidRPr="00012F7E">
        <w:rPr>
          <w:rFonts w:cstheme="minorHAnsi"/>
          <w:i/>
        </w:rPr>
        <w:t>One</w:t>
      </w:r>
      <w:r w:rsidR="00012F7E" w:rsidRPr="00012F7E">
        <w:rPr>
          <w:rStyle w:val="period"/>
          <w:rFonts w:cstheme="minorHAnsi"/>
        </w:rPr>
        <w:t>. </w:t>
      </w:r>
      <w:r w:rsidR="00012F7E" w:rsidRPr="00012F7E">
        <w:rPr>
          <w:rStyle w:val="cit"/>
          <w:rFonts w:cstheme="minorHAnsi"/>
        </w:rPr>
        <w:t>2020;15(11</w:t>
      </w:r>
      <w:proofErr w:type="gramStart"/>
      <w:r w:rsidR="00012F7E" w:rsidRPr="00012F7E">
        <w:rPr>
          <w:rStyle w:val="cit"/>
          <w:rFonts w:cstheme="minorHAnsi"/>
        </w:rPr>
        <w:t>):e</w:t>
      </w:r>
      <w:proofErr w:type="gramEnd"/>
      <w:r w:rsidR="00012F7E" w:rsidRPr="00012F7E">
        <w:rPr>
          <w:rStyle w:val="cit"/>
          <w:rFonts w:cstheme="minorHAnsi"/>
        </w:rPr>
        <w:t>0242182.</w:t>
      </w:r>
    </w:p>
    <w:p w14:paraId="43EEBED4" w14:textId="77777777" w:rsidR="00012F7E" w:rsidRPr="00433BAC" w:rsidRDefault="00990955" w:rsidP="00012F7E">
      <w:pPr>
        <w:shd w:val="clear" w:color="auto" w:fill="FFFFFF"/>
        <w:spacing w:after="0" w:line="240" w:lineRule="auto"/>
        <w:rPr>
          <w:rFonts w:cstheme="minorHAnsi"/>
          <w:lang w:val="en-US"/>
        </w:rPr>
      </w:pPr>
      <w:r w:rsidRPr="00012F7E">
        <w:rPr>
          <w:rFonts w:cstheme="minorHAnsi"/>
        </w:rPr>
        <w:t xml:space="preserve">3. </w:t>
      </w:r>
      <w:r w:rsidR="00012F7E" w:rsidRPr="00012F7E">
        <w:rPr>
          <w:rFonts w:cstheme="minorHAnsi"/>
          <w:shd w:val="clear" w:color="auto" w:fill="FFFFFF"/>
        </w:rPr>
        <w:t xml:space="preserve">Collart F, Mazzoleni L, Baudoux T, </w:t>
      </w:r>
      <w:r w:rsidR="00012F7E" w:rsidRPr="004B1E6C">
        <w:rPr>
          <w:rFonts w:cstheme="minorHAnsi"/>
          <w:i/>
          <w:shd w:val="clear" w:color="auto" w:fill="FFFFFF"/>
        </w:rPr>
        <w:t>et al</w:t>
      </w:r>
      <w:r w:rsidR="00012F7E" w:rsidRPr="00012F7E">
        <w:rPr>
          <w:rFonts w:cstheme="minorHAnsi"/>
          <w:shd w:val="clear" w:color="auto" w:fill="FFFFFF"/>
        </w:rPr>
        <w:t xml:space="preserve">. </w:t>
      </w:r>
      <w:r w:rsidR="00012F7E" w:rsidRPr="00012F7E">
        <w:rPr>
          <w:rFonts w:cstheme="minorHAnsi"/>
        </w:rPr>
        <w:t xml:space="preserve">Épidémiologie du COVID-19 en Belgique francophone. </w:t>
      </w:r>
      <w:proofErr w:type="spellStart"/>
      <w:r w:rsidR="00012F7E" w:rsidRPr="00433BAC">
        <w:rPr>
          <w:rFonts w:cstheme="minorHAnsi"/>
          <w:i/>
          <w:lang w:val="en-US"/>
        </w:rPr>
        <w:t>Nephrol</w:t>
      </w:r>
      <w:proofErr w:type="spellEnd"/>
      <w:r w:rsidR="00012F7E" w:rsidRPr="00433BAC">
        <w:rPr>
          <w:rFonts w:cstheme="minorHAnsi"/>
          <w:i/>
          <w:lang w:val="en-US"/>
        </w:rPr>
        <w:t xml:space="preserve"> </w:t>
      </w:r>
      <w:proofErr w:type="spellStart"/>
      <w:r w:rsidR="00012F7E" w:rsidRPr="00433BAC">
        <w:rPr>
          <w:rFonts w:cstheme="minorHAnsi"/>
          <w:i/>
          <w:lang w:val="en-US"/>
        </w:rPr>
        <w:t>Ther</w:t>
      </w:r>
      <w:proofErr w:type="spellEnd"/>
      <w:r w:rsidR="00012F7E" w:rsidRPr="00433BAC">
        <w:rPr>
          <w:rFonts w:cstheme="minorHAnsi"/>
          <w:i/>
          <w:lang w:val="en-US"/>
        </w:rPr>
        <w:t>.</w:t>
      </w:r>
      <w:r w:rsidR="00012F7E" w:rsidRPr="00433BAC">
        <w:rPr>
          <w:rFonts w:cstheme="minorHAnsi"/>
          <w:lang w:val="en-US"/>
        </w:rPr>
        <w:t xml:space="preserve"> 2020;16(5) :245-354.</w:t>
      </w:r>
    </w:p>
    <w:p w14:paraId="391B97F8" w14:textId="77777777" w:rsidR="00012F7E" w:rsidRPr="00433BAC" w:rsidRDefault="00012F7E" w:rsidP="00012F7E">
      <w:pPr>
        <w:shd w:val="clear" w:color="auto" w:fill="FFFFFF"/>
        <w:spacing w:after="0" w:line="240" w:lineRule="auto"/>
        <w:rPr>
          <w:rFonts w:cstheme="minorHAnsi"/>
          <w:lang w:val="en-US"/>
        </w:rPr>
      </w:pPr>
    </w:p>
    <w:p w14:paraId="72A1CD79" w14:textId="77777777" w:rsidR="00012F7E" w:rsidRPr="008A6EF9" w:rsidRDefault="00012F7E" w:rsidP="00012F7E">
      <w:pPr>
        <w:shd w:val="clear" w:color="auto" w:fill="FFFFFF"/>
        <w:spacing w:after="0" w:line="240" w:lineRule="auto"/>
        <w:rPr>
          <w:rStyle w:val="cit"/>
          <w:rFonts w:cstheme="minorHAnsi"/>
          <w:lang w:val="en-US"/>
        </w:rPr>
      </w:pPr>
      <w:r w:rsidRPr="00012F7E">
        <w:rPr>
          <w:rFonts w:cstheme="minorHAnsi"/>
          <w:lang w:val="en-US"/>
        </w:rPr>
        <w:t>4</w:t>
      </w:r>
      <w:r w:rsidRPr="00012F7E">
        <w:rPr>
          <w:rFonts w:cstheme="minorHAnsi"/>
          <w:color w:val="000000" w:themeColor="text1"/>
          <w:lang w:val="en-US"/>
        </w:rPr>
        <w:t xml:space="preserve">. </w:t>
      </w:r>
      <w:proofErr w:type="spellStart"/>
      <w:r w:rsidRPr="00433BAC">
        <w:rPr>
          <w:rStyle w:val="authors-list-item"/>
          <w:rFonts w:cstheme="minorHAnsi"/>
          <w:lang w:val="en-US"/>
        </w:rPr>
        <w:t>Hilbrands</w:t>
      </w:r>
      <w:proofErr w:type="spellEnd"/>
      <w:r w:rsidRPr="00433BAC">
        <w:rPr>
          <w:rStyle w:val="comma"/>
          <w:rFonts w:cstheme="minorHAnsi"/>
          <w:shd w:val="clear" w:color="auto" w:fill="FFFFFF"/>
          <w:lang w:val="en-US"/>
        </w:rPr>
        <w:t xml:space="preserve"> LB, </w:t>
      </w:r>
      <w:proofErr w:type="spellStart"/>
      <w:r w:rsidRPr="00433BAC">
        <w:rPr>
          <w:rStyle w:val="authors-list-item"/>
          <w:rFonts w:cstheme="minorHAnsi"/>
          <w:lang w:val="en-US"/>
        </w:rPr>
        <w:t>Duivenvoorden</w:t>
      </w:r>
      <w:proofErr w:type="spellEnd"/>
      <w:r w:rsidRPr="00433BAC">
        <w:rPr>
          <w:rStyle w:val="comma"/>
          <w:rFonts w:cstheme="minorHAnsi"/>
          <w:shd w:val="clear" w:color="auto" w:fill="FFFFFF"/>
          <w:lang w:val="en-US"/>
        </w:rPr>
        <w:t xml:space="preserve"> R, </w:t>
      </w:r>
      <w:proofErr w:type="spellStart"/>
      <w:r w:rsidRPr="00433BAC">
        <w:rPr>
          <w:rStyle w:val="authors-list-item"/>
          <w:rFonts w:cstheme="minorHAnsi"/>
          <w:lang w:val="en-US"/>
        </w:rPr>
        <w:t>Vart</w:t>
      </w:r>
      <w:proofErr w:type="spellEnd"/>
      <w:r w:rsidRPr="00433BAC">
        <w:rPr>
          <w:rStyle w:val="comma"/>
          <w:rFonts w:cstheme="minorHAnsi"/>
          <w:shd w:val="clear" w:color="auto" w:fill="FFFFFF"/>
          <w:lang w:val="en-US"/>
        </w:rPr>
        <w:t xml:space="preserve"> P, </w:t>
      </w:r>
      <w:r w:rsidRPr="00433BAC">
        <w:rPr>
          <w:rStyle w:val="comma"/>
          <w:rFonts w:cstheme="minorHAnsi"/>
          <w:i/>
          <w:shd w:val="clear" w:color="auto" w:fill="FFFFFF"/>
          <w:lang w:val="en-US"/>
        </w:rPr>
        <w:t>et al</w:t>
      </w:r>
      <w:r w:rsidRPr="00433BAC">
        <w:rPr>
          <w:rStyle w:val="comma"/>
          <w:rFonts w:cstheme="minorHAnsi"/>
          <w:shd w:val="clear" w:color="auto" w:fill="FFFFFF"/>
          <w:lang w:val="en-US"/>
        </w:rPr>
        <w:t xml:space="preserve">. </w:t>
      </w:r>
      <w:r w:rsidRPr="00433BAC">
        <w:rPr>
          <w:rFonts w:cstheme="minorHAnsi"/>
          <w:lang w:val="en-US"/>
        </w:rPr>
        <w:t xml:space="preserve">COVID-19-related mortality in kidney transplant and dialysis patients: results of the ERACODA collaboration. </w:t>
      </w:r>
      <w:proofErr w:type="spellStart"/>
      <w:r w:rsidRPr="008A6EF9">
        <w:rPr>
          <w:rFonts w:cstheme="minorHAnsi"/>
          <w:i/>
          <w:lang w:val="en-US"/>
        </w:rPr>
        <w:t>Nephrol</w:t>
      </w:r>
      <w:proofErr w:type="spellEnd"/>
      <w:r w:rsidRPr="008A6EF9">
        <w:rPr>
          <w:rFonts w:cstheme="minorHAnsi"/>
          <w:i/>
          <w:lang w:val="en-US"/>
        </w:rPr>
        <w:t xml:space="preserve"> Dial Transplant</w:t>
      </w:r>
      <w:r w:rsidRPr="008A6EF9">
        <w:rPr>
          <w:rStyle w:val="period"/>
          <w:rFonts w:cstheme="minorHAnsi"/>
          <w:shd w:val="clear" w:color="auto" w:fill="FFFFFF"/>
          <w:lang w:val="en-US"/>
        </w:rPr>
        <w:t>. </w:t>
      </w:r>
      <w:r w:rsidRPr="008A6EF9">
        <w:rPr>
          <w:rStyle w:val="cit"/>
          <w:rFonts w:cstheme="minorHAnsi"/>
          <w:shd w:val="clear" w:color="auto" w:fill="FFFFFF"/>
          <w:lang w:val="en-US"/>
        </w:rPr>
        <w:t>2020</w:t>
      </w:r>
      <w:proofErr w:type="gramStart"/>
      <w:r w:rsidRPr="008A6EF9">
        <w:rPr>
          <w:rStyle w:val="cit"/>
          <w:rFonts w:cstheme="minorHAnsi"/>
          <w:shd w:val="clear" w:color="auto" w:fill="FFFFFF"/>
          <w:lang w:val="en-US"/>
        </w:rPr>
        <w:t>;35</w:t>
      </w:r>
      <w:proofErr w:type="gramEnd"/>
      <w:r w:rsidRPr="008A6EF9">
        <w:rPr>
          <w:rStyle w:val="cit"/>
          <w:rFonts w:cstheme="minorHAnsi"/>
          <w:shd w:val="clear" w:color="auto" w:fill="FFFFFF"/>
          <w:lang w:val="en-US"/>
        </w:rPr>
        <w:t>(11):1973-1983.</w:t>
      </w:r>
    </w:p>
    <w:p w14:paraId="445486A1" w14:textId="77777777" w:rsidR="00012F7E" w:rsidRDefault="00012F7E" w:rsidP="00012F7E">
      <w:pPr>
        <w:shd w:val="clear" w:color="auto" w:fill="FFFFFF"/>
        <w:spacing w:after="0" w:line="240" w:lineRule="auto"/>
        <w:rPr>
          <w:rFonts w:cstheme="minorHAnsi"/>
          <w:lang w:val="en-US"/>
        </w:rPr>
      </w:pPr>
    </w:p>
    <w:p w14:paraId="79BDA913" w14:textId="77777777" w:rsidR="00012F7E" w:rsidRPr="008A6EF9" w:rsidRDefault="00990955" w:rsidP="00012F7E">
      <w:pPr>
        <w:shd w:val="clear" w:color="auto" w:fill="FFFFFF"/>
        <w:spacing w:after="0" w:line="240" w:lineRule="auto"/>
        <w:rPr>
          <w:rFonts w:cstheme="minorHAnsi"/>
        </w:rPr>
      </w:pPr>
      <w:r w:rsidRPr="00012F7E">
        <w:rPr>
          <w:rFonts w:cstheme="minorHAnsi"/>
          <w:lang w:val="en-US"/>
        </w:rPr>
        <w:t xml:space="preserve">5. </w:t>
      </w:r>
      <w:proofErr w:type="spellStart"/>
      <w:r w:rsidR="00012F7E" w:rsidRPr="008253E7">
        <w:rPr>
          <w:rFonts w:cstheme="minorHAnsi"/>
          <w:lang w:val="en-US"/>
        </w:rPr>
        <w:t>Georgery</w:t>
      </w:r>
      <w:proofErr w:type="spellEnd"/>
      <w:r w:rsidR="00012F7E" w:rsidRPr="008253E7">
        <w:rPr>
          <w:rFonts w:cstheme="minorHAnsi"/>
          <w:lang w:val="en-US"/>
        </w:rPr>
        <w:t xml:space="preserve"> H, </w:t>
      </w:r>
      <w:proofErr w:type="spellStart"/>
      <w:r w:rsidR="00012F7E" w:rsidRPr="008253E7">
        <w:rPr>
          <w:rFonts w:cstheme="minorHAnsi"/>
          <w:lang w:val="en-US"/>
        </w:rPr>
        <w:t>Devresse</w:t>
      </w:r>
      <w:proofErr w:type="spellEnd"/>
      <w:r w:rsidR="00012F7E" w:rsidRPr="008253E7">
        <w:rPr>
          <w:rFonts w:cstheme="minorHAnsi"/>
          <w:lang w:val="en-US"/>
        </w:rPr>
        <w:t xml:space="preserve"> A, </w:t>
      </w:r>
      <w:proofErr w:type="spellStart"/>
      <w:r w:rsidR="00012F7E" w:rsidRPr="008253E7">
        <w:rPr>
          <w:rFonts w:cstheme="minorHAnsi"/>
          <w:lang w:val="en-US"/>
        </w:rPr>
        <w:t>Scohy</w:t>
      </w:r>
      <w:proofErr w:type="spellEnd"/>
      <w:r w:rsidR="00012F7E" w:rsidRPr="008253E7">
        <w:rPr>
          <w:rFonts w:cstheme="minorHAnsi"/>
          <w:lang w:val="en-US"/>
        </w:rPr>
        <w:t xml:space="preserve"> A, </w:t>
      </w:r>
      <w:r w:rsidR="00012F7E" w:rsidRPr="008253E7">
        <w:rPr>
          <w:rFonts w:cstheme="minorHAnsi"/>
          <w:i/>
          <w:lang w:val="en-US"/>
        </w:rPr>
        <w:t>et al</w:t>
      </w:r>
      <w:r w:rsidR="00012F7E" w:rsidRPr="008253E7">
        <w:rPr>
          <w:rFonts w:cstheme="minorHAnsi"/>
          <w:lang w:val="en-US"/>
        </w:rPr>
        <w:t xml:space="preserve">. </w:t>
      </w:r>
      <w:r w:rsidR="00012F7E" w:rsidRPr="00012F7E">
        <w:rPr>
          <w:rFonts w:cstheme="minorHAnsi"/>
          <w:lang w:val="en-US"/>
        </w:rPr>
        <w:t xml:space="preserve">The second wave of COVID-19 disease in a kidney transplant recipient cohort: a single-center experience in Belgium. </w:t>
      </w:r>
      <w:r w:rsidR="00012F7E" w:rsidRPr="008A6EF9">
        <w:rPr>
          <w:rFonts w:cstheme="minorHAnsi"/>
          <w:i/>
        </w:rPr>
        <w:t>Transplantation</w:t>
      </w:r>
      <w:r w:rsidR="00012F7E" w:rsidRPr="008A6EF9">
        <w:rPr>
          <w:rFonts w:cstheme="minorHAnsi"/>
        </w:rPr>
        <w:t xml:space="preserve"> [in </w:t>
      </w:r>
      <w:proofErr w:type="spellStart"/>
      <w:r w:rsidR="00012F7E" w:rsidRPr="008A6EF9">
        <w:rPr>
          <w:rFonts w:cstheme="minorHAnsi"/>
        </w:rPr>
        <w:t>press</w:t>
      </w:r>
      <w:proofErr w:type="spellEnd"/>
      <w:r w:rsidR="00012F7E" w:rsidRPr="008A6EF9">
        <w:rPr>
          <w:rFonts w:cstheme="minorHAnsi"/>
        </w:rPr>
        <w:t>]</w:t>
      </w:r>
    </w:p>
    <w:p w14:paraId="7C0C2EE4" w14:textId="77777777" w:rsidR="0026746A" w:rsidRPr="008A6EF9" w:rsidRDefault="0026746A" w:rsidP="00012F7E">
      <w:pPr>
        <w:shd w:val="clear" w:color="auto" w:fill="FFFFFF"/>
        <w:spacing w:after="0" w:line="240" w:lineRule="auto"/>
        <w:rPr>
          <w:rFonts w:cstheme="minorHAnsi"/>
        </w:rPr>
      </w:pPr>
    </w:p>
    <w:p w14:paraId="7A6FDDBB" w14:textId="77777777" w:rsidR="0026746A" w:rsidRPr="00012F7E" w:rsidRDefault="0026746A" w:rsidP="00012F7E">
      <w:pPr>
        <w:shd w:val="clear" w:color="auto" w:fill="FFFFFF"/>
        <w:spacing w:after="0" w:line="240" w:lineRule="auto"/>
        <w:rPr>
          <w:rFonts w:cstheme="minorHAnsi"/>
        </w:rPr>
      </w:pPr>
      <w:r w:rsidRPr="008253E7">
        <w:rPr>
          <w:rFonts w:cstheme="minorHAnsi"/>
        </w:rPr>
        <w:t xml:space="preserve">6. </w:t>
      </w:r>
      <w:r>
        <w:rPr>
          <w:rFonts w:cs="Arial"/>
          <w:spacing w:val="2"/>
          <w:lang w:val="fr-FR"/>
        </w:rPr>
        <w:t xml:space="preserve">Vaccination contre la COVID-19 chez les patients transplantés d’organes solides. </w:t>
      </w:r>
      <w:r w:rsidRPr="008253E7">
        <w:rPr>
          <w:rFonts w:cstheme="minorHAnsi"/>
        </w:rPr>
        <w:t>https://www.sfndt.org/actualites/vaccination-contre-la-covid-19-chez-les-patients-transplantes-dorganes-solides.</w:t>
      </w:r>
    </w:p>
    <w:p w14:paraId="309A4758" w14:textId="77777777" w:rsidR="00A86BD9" w:rsidRPr="008253E7" w:rsidRDefault="00A86BD9" w:rsidP="00012F7E"/>
    <w:sectPr w:rsidR="00A86BD9" w:rsidRPr="0082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2AB3"/>
    <w:multiLevelType w:val="hybridMultilevel"/>
    <w:tmpl w:val="C7AEFD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5"/>
    <w:rsid w:val="00012F7E"/>
    <w:rsid w:val="001A6503"/>
    <w:rsid w:val="0026746A"/>
    <w:rsid w:val="002C7162"/>
    <w:rsid w:val="00337848"/>
    <w:rsid w:val="00433BAC"/>
    <w:rsid w:val="004B1E6C"/>
    <w:rsid w:val="008253E7"/>
    <w:rsid w:val="0088020D"/>
    <w:rsid w:val="008A6EF9"/>
    <w:rsid w:val="008E0EA0"/>
    <w:rsid w:val="00990955"/>
    <w:rsid w:val="00991685"/>
    <w:rsid w:val="00A77F35"/>
    <w:rsid w:val="00A86BD9"/>
    <w:rsid w:val="00AD50C5"/>
    <w:rsid w:val="00DF06A6"/>
    <w:rsid w:val="00E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119"/>
  <w15:chartTrackingRefBased/>
  <w15:docId w15:val="{A398A5D6-93A4-42E7-8176-0122E96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90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0955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095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909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95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0955"/>
    <w:pPr>
      <w:ind w:left="720"/>
      <w:contextualSpacing/>
    </w:pPr>
  </w:style>
  <w:style w:type="character" w:customStyle="1" w:styleId="authors-list-item">
    <w:name w:val="authors-list-item"/>
    <w:basedOn w:val="Policepardfaut"/>
    <w:rsid w:val="00012F7E"/>
  </w:style>
  <w:style w:type="character" w:customStyle="1" w:styleId="comma">
    <w:name w:val="comma"/>
    <w:basedOn w:val="Policepardfaut"/>
    <w:rsid w:val="00012F7E"/>
  </w:style>
  <w:style w:type="character" w:customStyle="1" w:styleId="period">
    <w:name w:val="period"/>
    <w:basedOn w:val="Policepardfaut"/>
    <w:rsid w:val="00012F7E"/>
  </w:style>
  <w:style w:type="character" w:customStyle="1" w:styleId="cit">
    <w:name w:val="cit"/>
    <w:basedOn w:val="Policepardfaut"/>
    <w:rsid w:val="0001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ISPPC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DESMET Jean Marc</dc:creator>
  <cp:keywords/>
  <dc:description/>
  <cp:lastModifiedBy>DESMET Jean Marc</cp:lastModifiedBy>
  <cp:revision>2</cp:revision>
  <dcterms:created xsi:type="dcterms:W3CDTF">2021-01-10T10:07:00Z</dcterms:created>
  <dcterms:modified xsi:type="dcterms:W3CDTF">2021-01-10T10:07:00Z</dcterms:modified>
</cp:coreProperties>
</file>